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7F27" w14:textId="703810A7" w:rsidR="000E09BD" w:rsidRPr="002076E1" w:rsidRDefault="005A4C00" w:rsidP="00C11F2B">
      <w:pPr>
        <w:pStyle w:val="Title"/>
        <w:jc w:val="left"/>
        <w:rPr>
          <w:rFonts w:cs="Arial"/>
        </w:rPr>
      </w:pPr>
      <w:r>
        <w:rPr>
          <w:rFonts w:cs="Arial"/>
        </w:rPr>
        <w:t xml:space="preserve">Source Water Protection STatement – Principle </w:t>
      </w:r>
      <w:r w:rsidR="00A712B8">
        <w:rPr>
          <w:rFonts w:cs="Arial"/>
        </w:rPr>
        <w:t>8</w:t>
      </w:r>
      <w:r>
        <w:rPr>
          <w:rFonts w:cs="Arial"/>
        </w:rPr>
        <w:t xml:space="preserve"> </w:t>
      </w:r>
      <w:r w:rsidR="00F92343">
        <w:rPr>
          <w:rFonts w:cs="Arial"/>
        </w:rPr>
        <w:t>CAse study – SEQ’s REsilient Rivers initiative and catchment action plans</w:t>
      </w:r>
    </w:p>
    <w:p w14:paraId="74B7AF51" w14:textId="77777777" w:rsidR="00B920F1" w:rsidRPr="002076E1" w:rsidRDefault="00B920F1" w:rsidP="00C11F2B">
      <w:pPr>
        <w:pStyle w:val="Authors"/>
        <w:spacing w:line="276" w:lineRule="auto"/>
        <w:jc w:val="left"/>
        <w:rPr>
          <w:rFonts w:cs="Arial"/>
          <w:sz w:val="20"/>
        </w:rPr>
      </w:pPr>
    </w:p>
    <w:p w14:paraId="45CDA073" w14:textId="496F4D64" w:rsidR="00555BA1" w:rsidRDefault="00AD5520" w:rsidP="00C11F2B">
      <w:pPr>
        <w:pStyle w:val="Authors"/>
        <w:spacing w:line="276" w:lineRule="auto"/>
        <w:jc w:val="left"/>
        <w:rPr>
          <w:rFonts w:cs="Arial"/>
          <w:sz w:val="20"/>
          <w:u w:val="single"/>
        </w:rPr>
      </w:pPr>
      <w:r w:rsidRPr="00AD5520">
        <w:rPr>
          <w:rFonts w:cs="Arial"/>
          <w:sz w:val="20"/>
          <w:u w:val="single"/>
        </w:rPr>
        <w:t xml:space="preserve">PRINCIPLE </w:t>
      </w:r>
      <w:r w:rsidR="00D91169">
        <w:rPr>
          <w:rFonts w:cs="Arial"/>
          <w:sz w:val="20"/>
          <w:u w:val="single"/>
        </w:rPr>
        <w:t>8</w:t>
      </w:r>
    </w:p>
    <w:p w14:paraId="3A85A2F6" w14:textId="309C2F47" w:rsidR="00AD5520" w:rsidRDefault="00A712B8" w:rsidP="00C11F2B">
      <w:pPr>
        <w:pStyle w:val="Authors"/>
        <w:spacing w:line="276" w:lineRule="auto"/>
        <w:jc w:val="left"/>
        <w:rPr>
          <w:rFonts w:cs="Arial"/>
          <w:b/>
          <w:bCs w:val="0"/>
          <w:sz w:val="20"/>
        </w:rPr>
      </w:pPr>
      <w:r w:rsidRPr="00A712B8">
        <w:rPr>
          <w:rFonts w:cs="Arial"/>
          <w:b/>
          <w:bCs w:val="0"/>
          <w:sz w:val="20"/>
        </w:rPr>
        <w:t>Communication with the community is vital</w:t>
      </w:r>
      <w:r>
        <w:rPr>
          <w:rFonts w:cs="Arial"/>
          <w:b/>
          <w:bCs w:val="0"/>
          <w:sz w:val="20"/>
        </w:rPr>
        <w:t>.</w:t>
      </w:r>
    </w:p>
    <w:p w14:paraId="72CE7BE0" w14:textId="76732C58" w:rsidR="001632D7" w:rsidRDefault="001632D7" w:rsidP="00C11F2B">
      <w:pPr>
        <w:pStyle w:val="Authors"/>
        <w:spacing w:line="276" w:lineRule="auto"/>
        <w:jc w:val="left"/>
        <w:rPr>
          <w:rFonts w:cs="Arial"/>
          <w:b/>
          <w:bCs w:val="0"/>
          <w:sz w:val="20"/>
        </w:rPr>
      </w:pPr>
    </w:p>
    <w:p w14:paraId="40CA4779" w14:textId="31E3D5AC" w:rsidR="001632D7" w:rsidRDefault="001632D7" w:rsidP="001632D7">
      <w:pPr>
        <w:pStyle w:val="Authors"/>
        <w:spacing w:line="276" w:lineRule="auto"/>
        <w:jc w:val="left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OTHER </w:t>
      </w:r>
      <w:r w:rsidR="00F92343">
        <w:rPr>
          <w:rFonts w:cs="Arial"/>
          <w:sz w:val="20"/>
          <w:u w:val="single"/>
        </w:rPr>
        <w:t>RELEVANT PRINCIPLES:</w:t>
      </w:r>
    </w:p>
    <w:p w14:paraId="08F42819" w14:textId="79EBAF29" w:rsidR="00F92343" w:rsidRDefault="0003009A" w:rsidP="0003009A">
      <w:pPr>
        <w:pStyle w:val="Authors"/>
        <w:spacing w:line="276" w:lineRule="auto"/>
        <w:jc w:val="left"/>
        <w:rPr>
          <w:rFonts w:ascii="HelveticaNeueLT Std" w:hAnsi="HelveticaNeueLT Std"/>
          <w:noProof/>
          <w:sz w:val="20"/>
        </w:rPr>
      </w:pPr>
      <w:r w:rsidRPr="0003009A">
        <w:rPr>
          <w:rFonts w:ascii="HelveticaNeueLT Std" w:hAnsi="HelveticaNeueLT Std"/>
          <w:noProof/>
          <w:sz w:val="20"/>
        </w:rPr>
        <w:t>Principle 6: Appropriate investment and risk-based decision-making shoul</w:t>
      </w:r>
      <w:r>
        <w:rPr>
          <w:rFonts w:ascii="HelveticaNeueLT Std" w:hAnsi="HelveticaNeueLT Std"/>
          <w:noProof/>
          <w:sz w:val="20"/>
        </w:rPr>
        <w:t xml:space="preserve">d </w:t>
      </w:r>
      <w:r w:rsidRPr="0003009A">
        <w:rPr>
          <w:rFonts w:ascii="HelveticaNeueLT Std" w:hAnsi="HelveticaNeueLT Std"/>
          <w:noProof/>
          <w:sz w:val="20"/>
        </w:rPr>
        <w:t>be followed</w:t>
      </w:r>
    </w:p>
    <w:p w14:paraId="61ABA669" w14:textId="6C2B0B03" w:rsidR="0003009A" w:rsidRPr="008C229B" w:rsidRDefault="0003009A" w:rsidP="0003009A">
      <w:pPr>
        <w:pStyle w:val="Authors"/>
        <w:spacing w:line="276" w:lineRule="auto"/>
        <w:jc w:val="left"/>
        <w:rPr>
          <w:rFonts w:ascii="HelveticaNeueLT Std" w:hAnsi="HelveticaNeueLT Std"/>
          <w:noProof/>
          <w:sz w:val="20"/>
        </w:rPr>
      </w:pPr>
      <w:r w:rsidRPr="008C229B">
        <w:rPr>
          <w:rFonts w:ascii="HelveticaNeueLT Std" w:hAnsi="HelveticaNeueLT Std"/>
          <w:noProof/>
          <w:sz w:val="20"/>
        </w:rPr>
        <w:t>Principle 7: Knowing your catchment</w:t>
      </w:r>
    </w:p>
    <w:p w14:paraId="4A525119" w14:textId="0D0F8E43" w:rsidR="0003009A" w:rsidRPr="008C229B" w:rsidRDefault="008C229B" w:rsidP="0003009A">
      <w:pPr>
        <w:pStyle w:val="Authors"/>
        <w:spacing w:line="276" w:lineRule="auto"/>
        <w:jc w:val="left"/>
        <w:rPr>
          <w:rFonts w:ascii="HelveticaNeueLT Std" w:hAnsi="HelveticaNeueLT Std"/>
          <w:noProof/>
          <w:sz w:val="20"/>
        </w:rPr>
      </w:pPr>
      <w:r w:rsidRPr="008C229B">
        <w:rPr>
          <w:rFonts w:ascii="HelveticaNeueLT Std" w:hAnsi="HelveticaNeueLT Std"/>
          <w:noProof/>
          <w:sz w:val="20"/>
        </w:rPr>
        <w:t>Principle 9: The transdisciplinary and adaptive nature of source water protection should be acknowledged and practised</w:t>
      </w:r>
    </w:p>
    <w:p w14:paraId="28D1461B" w14:textId="7A7CFA95" w:rsidR="008C229B" w:rsidRPr="008C229B" w:rsidRDefault="008C229B" w:rsidP="0003009A">
      <w:pPr>
        <w:pStyle w:val="Authors"/>
        <w:spacing w:line="276" w:lineRule="auto"/>
        <w:jc w:val="left"/>
        <w:rPr>
          <w:rFonts w:ascii="HelveticaNeueLT Std" w:hAnsi="HelveticaNeueLT Std"/>
          <w:noProof/>
          <w:sz w:val="20"/>
        </w:rPr>
      </w:pPr>
      <w:r w:rsidRPr="008C229B">
        <w:rPr>
          <w:rFonts w:ascii="HelveticaNeueLT Std" w:hAnsi="HelveticaNeueLT Std"/>
          <w:noProof/>
          <w:sz w:val="20"/>
        </w:rPr>
        <w:t>Principle 10: Achieving source water protection through leading the way and partnerships</w:t>
      </w:r>
    </w:p>
    <w:p w14:paraId="7D5809BC" w14:textId="74A9075D" w:rsidR="00D15E5D" w:rsidRDefault="00D15E5D" w:rsidP="00C11F2B">
      <w:pPr>
        <w:pStyle w:val="Authors"/>
        <w:spacing w:line="276" w:lineRule="auto"/>
        <w:jc w:val="left"/>
        <w:rPr>
          <w:rFonts w:cs="Arial"/>
          <w:b/>
          <w:bCs w:val="0"/>
          <w:sz w:val="20"/>
        </w:rPr>
      </w:pPr>
      <w:r>
        <w:rPr>
          <w:noProof/>
        </w:rPr>
        <w:drawing>
          <wp:inline distT="0" distB="0" distL="0" distR="0" wp14:anchorId="138C6A48" wp14:editId="02D63896">
            <wp:extent cx="6120765" cy="2112645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C2EC" w14:textId="77777777" w:rsidR="00D374F8" w:rsidRDefault="00D374F8" w:rsidP="00C11F2B">
      <w:pPr>
        <w:pStyle w:val="Authors"/>
        <w:spacing w:line="276" w:lineRule="auto"/>
        <w:jc w:val="left"/>
        <w:rPr>
          <w:i/>
          <w:iCs/>
        </w:rPr>
      </w:pPr>
    </w:p>
    <w:p w14:paraId="7C913683" w14:textId="77777777" w:rsidR="00AC2B56" w:rsidRPr="00D77858" w:rsidRDefault="00AC2B56" w:rsidP="00C11F2B">
      <w:pPr>
        <w:pStyle w:val="Heading1"/>
        <w:spacing w:before="0" w:line="276" w:lineRule="auto"/>
        <w:rPr>
          <w:rFonts w:cs="Arial"/>
          <w:sz w:val="20"/>
        </w:rPr>
      </w:pPr>
      <w:r w:rsidRPr="00D77858">
        <w:rPr>
          <w:rFonts w:cs="Arial"/>
          <w:sz w:val="20"/>
        </w:rPr>
        <w:t>Keywords</w:t>
      </w:r>
    </w:p>
    <w:p w14:paraId="69E53E84" w14:textId="49EF5BF7" w:rsidR="00AC2B56" w:rsidRDefault="00435FAC" w:rsidP="00C11F2B">
      <w:pPr>
        <w:spacing w:after="60" w:line="276" w:lineRule="auto"/>
      </w:pPr>
      <w:r>
        <w:t>Collaborati</w:t>
      </w:r>
      <w:r w:rsidR="00694B3D">
        <w:t>on</w:t>
      </w:r>
      <w:r>
        <w:t xml:space="preserve">, </w:t>
      </w:r>
      <w:r w:rsidR="000810F2">
        <w:t xml:space="preserve">engagement, communication, </w:t>
      </w:r>
      <w:r>
        <w:t xml:space="preserve">catchments, </w:t>
      </w:r>
      <w:r w:rsidR="00694B3D">
        <w:t>drinking water, erosion, flooding, partnerships, water quality,</w:t>
      </w:r>
      <w:r w:rsidR="00822D3C">
        <w:t xml:space="preserve"> </w:t>
      </w:r>
      <w:r w:rsidR="00500D55">
        <w:t>resilience</w:t>
      </w:r>
    </w:p>
    <w:p w14:paraId="1A9C42C5" w14:textId="77777777" w:rsidR="00AC2B56" w:rsidRDefault="00AC2B56" w:rsidP="00C11F2B">
      <w:pPr>
        <w:spacing w:after="60" w:line="276" w:lineRule="auto"/>
      </w:pPr>
    </w:p>
    <w:p w14:paraId="77BA39DC" w14:textId="77777777" w:rsidR="004F37BB" w:rsidRPr="000E739E" w:rsidRDefault="004F37BB" w:rsidP="00C11F2B">
      <w:pPr>
        <w:pStyle w:val="Body"/>
        <w:spacing w:before="0" w:after="0" w:line="276" w:lineRule="auto"/>
        <w:jc w:val="left"/>
        <w:rPr>
          <w:rFonts w:cs="Arial"/>
          <w:noProof w:val="0"/>
          <w:u w:val="single"/>
        </w:rPr>
      </w:pPr>
      <w:r>
        <w:rPr>
          <w:rFonts w:cs="Arial"/>
          <w:noProof w:val="0"/>
          <w:u w:val="single"/>
        </w:rPr>
        <w:t xml:space="preserve">CASE STUDY DETAILS: </w:t>
      </w:r>
    </w:p>
    <w:p w14:paraId="3E4A92E6" w14:textId="77777777" w:rsidR="000E739E" w:rsidRPr="004F37BB" w:rsidRDefault="004F37BB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>
        <w:rPr>
          <w:rFonts w:ascii="HelveticaNeueLT Std" w:hAnsi="HelveticaNeueLT Std"/>
          <w:b/>
          <w:noProof/>
        </w:rPr>
        <w:t>Year:</w:t>
      </w:r>
    </w:p>
    <w:p w14:paraId="02346027" w14:textId="06C659A3" w:rsidR="001C4B62" w:rsidRPr="001C3D08" w:rsidRDefault="008446B3" w:rsidP="00C11F2B">
      <w:pPr>
        <w:spacing w:after="60" w:line="276" w:lineRule="auto"/>
      </w:pPr>
      <w:r>
        <w:t>201</w:t>
      </w:r>
      <w:r w:rsidR="009F0575">
        <w:t>5 - 2025</w:t>
      </w:r>
    </w:p>
    <w:p w14:paraId="2E5962E1" w14:textId="77777777" w:rsidR="00D77858" w:rsidRPr="001C3D08" w:rsidRDefault="00D77858" w:rsidP="00C11F2B">
      <w:pPr>
        <w:pStyle w:val="Body"/>
        <w:spacing w:before="0" w:after="0" w:line="276" w:lineRule="auto"/>
        <w:jc w:val="left"/>
        <w:rPr>
          <w:rFonts w:cs="Arial"/>
          <w:noProof w:val="0"/>
        </w:rPr>
      </w:pPr>
    </w:p>
    <w:p w14:paraId="363319BF" w14:textId="77777777" w:rsidR="00D77858" w:rsidRPr="001C3D08" w:rsidRDefault="004F37BB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 w:rsidRPr="001C3D08">
        <w:rPr>
          <w:rFonts w:ascii="HelveticaNeueLT Std" w:hAnsi="HelveticaNeueLT Std"/>
          <w:b/>
          <w:noProof/>
        </w:rPr>
        <w:t>Location:</w:t>
      </w:r>
    </w:p>
    <w:p w14:paraId="616F9438" w14:textId="02696BCE" w:rsidR="00D77858" w:rsidRPr="001C3D08" w:rsidRDefault="007C6F5F" w:rsidP="00C11F2B">
      <w:pPr>
        <w:spacing w:after="60" w:line="276" w:lineRule="auto"/>
      </w:pPr>
      <w:r w:rsidRPr="001C3D08">
        <w:t xml:space="preserve">South East Queensland </w:t>
      </w:r>
    </w:p>
    <w:p w14:paraId="10960E66" w14:textId="77777777" w:rsidR="00D77858" w:rsidRPr="001C3D08" w:rsidRDefault="00D77858" w:rsidP="00C11F2B">
      <w:pPr>
        <w:pStyle w:val="Body"/>
        <w:spacing w:before="0" w:after="0" w:line="276" w:lineRule="auto"/>
        <w:jc w:val="left"/>
        <w:rPr>
          <w:rFonts w:cs="Arial"/>
          <w:noProof w:val="0"/>
          <w:u w:val="single"/>
        </w:rPr>
      </w:pPr>
    </w:p>
    <w:p w14:paraId="67B321AA" w14:textId="77777777" w:rsidR="00D77858" w:rsidRPr="001C3D08" w:rsidRDefault="004F37BB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 w:rsidRPr="001C3D08">
        <w:rPr>
          <w:rFonts w:ascii="HelveticaNeueLT Std" w:hAnsi="HelveticaNeueLT Std"/>
          <w:b/>
          <w:noProof/>
        </w:rPr>
        <w:t>Team:</w:t>
      </w:r>
    </w:p>
    <w:p w14:paraId="03762138" w14:textId="17C121C7" w:rsidR="00D77858" w:rsidRPr="001C3D08" w:rsidRDefault="00A555E3" w:rsidP="00C11F2B">
      <w:pPr>
        <w:pStyle w:val="Body"/>
        <w:spacing w:before="0" w:after="0" w:line="276" w:lineRule="auto"/>
        <w:jc w:val="left"/>
        <w:rPr>
          <w:rFonts w:cs="Arial"/>
          <w:noProof w:val="0"/>
          <w:u w:val="single"/>
        </w:rPr>
      </w:pPr>
      <w:r w:rsidRPr="00A555E3">
        <w:rPr>
          <w:rFonts w:cs="Arial"/>
          <w:noProof w:val="0"/>
        </w:rPr>
        <w:t xml:space="preserve">Council of Mayors South East Queensland (CoMSEQ), Queensland Government, SEQ Water, </w:t>
      </w:r>
      <w:proofErr w:type="spellStart"/>
      <w:r w:rsidR="00F61D0E" w:rsidRPr="00A555E3">
        <w:rPr>
          <w:rFonts w:cs="Arial"/>
          <w:noProof w:val="0"/>
        </w:rPr>
        <w:t>Unity</w:t>
      </w:r>
      <w:r w:rsidR="00F61D0E">
        <w:rPr>
          <w:rFonts w:cs="Arial"/>
          <w:noProof w:val="0"/>
        </w:rPr>
        <w:t>w</w:t>
      </w:r>
      <w:r w:rsidR="00F61D0E" w:rsidRPr="00A555E3">
        <w:rPr>
          <w:rFonts w:cs="Arial"/>
          <w:noProof w:val="0"/>
        </w:rPr>
        <w:t>ater</w:t>
      </w:r>
      <w:proofErr w:type="spellEnd"/>
      <w:r w:rsidRPr="00A555E3">
        <w:rPr>
          <w:rFonts w:cs="Arial"/>
          <w:noProof w:val="0"/>
        </w:rPr>
        <w:t>, Urban Utilities, Healthy Land and Water</w:t>
      </w:r>
      <w:r w:rsidR="006106D0">
        <w:rPr>
          <w:rFonts w:cs="Arial"/>
          <w:noProof w:val="0"/>
        </w:rPr>
        <w:t>, SEQ Local Councils</w:t>
      </w:r>
      <w:r w:rsidR="00EC0D28">
        <w:rPr>
          <w:rFonts w:cs="Arial"/>
          <w:noProof w:val="0"/>
        </w:rPr>
        <w:t xml:space="preserve">, catchment </w:t>
      </w:r>
      <w:r w:rsidR="007A7FD5">
        <w:rPr>
          <w:rFonts w:cs="Arial"/>
          <w:noProof w:val="0"/>
        </w:rPr>
        <w:t xml:space="preserve">and peak industry </w:t>
      </w:r>
      <w:r w:rsidR="00EC0D28">
        <w:rPr>
          <w:rFonts w:cs="Arial"/>
          <w:noProof w:val="0"/>
        </w:rPr>
        <w:t>or</w:t>
      </w:r>
      <w:r w:rsidR="00F7182D">
        <w:rPr>
          <w:rFonts w:cs="Arial"/>
          <w:noProof w:val="0"/>
        </w:rPr>
        <w:t>ganisations</w:t>
      </w:r>
      <w:r w:rsidR="00FF1DCF">
        <w:rPr>
          <w:rFonts w:cs="Arial"/>
          <w:noProof w:val="0"/>
        </w:rPr>
        <w:t xml:space="preserve"> and the community.</w:t>
      </w:r>
    </w:p>
    <w:p w14:paraId="65E5186A" w14:textId="77777777" w:rsidR="000E739E" w:rsidRPr="001C3D08" w:rsidRDefault="000E739E" w:rsidP="00C11F2B">
      <w:pPr>
        <w:pStyle w:val="Body"/>
        <w:spacing w:before="0" w:after="0" w:line="276" w:lineRule="auto"/>
        <w:jc w:val="left"/>
        <w:rPr>
          <w:rFonts w:cs="Arial"/>
          <w:noProof w:val="0"/>
        </w:rPr>
      </w:pPr>
    </w:p>
    <w:p w14:paraId="20E687C1" w14:textId="77777777" w:rsidR="000E739E" w:rsidRPr="001C3D08" w:rsidRDefault="000E739E" w:rsidP="00C11F2B">
      <w:pPr>
        <w:pStyle w:val="Body"/>
        <w:spacing w:before="0" w:after="0" w:line="276" w:lineRule="auto"/>
        <w:jc w:val="left"/>
        <w:rPr>
          <w:rFonts w:cs="Arial"/>
          <w:noProof w:val="0"/>
          <w:u w:val="single"/>
        </w:rPr>
      </w:pPr>
      <w:r w:rsidRPr="001C3D08">
        <w:rPr>
          <w:rFonts w:cs="Arial"/>
          <w:noProof w:val="0"/>
          <w:u w:val="single"/>
        </w:rPr>
        <w:t xml:space="preserve">CASE STUDY </w:t>
      </w:r>
      <w:r w:rsidR="00D77858" w:rsidRPr="001C3D08">
        <w:rPr>
          <w:rFonts w:cs="Arial"/>
          <w:noProof w:val="0"/>
          <w:u w:val="single"/>
        </w:rPr>
        <w:t>OUTLINE:</w:t>
      </w:r>
    </w:p>
    <w:p w14:paraId="46F2CA82" w14:textId="77777777" w:rsidR="00D77858" w:rsidRPr="001C3D08" w:rsidRDefault="00D77858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 w:rsidRPr="001C3D08">
        <w:rPr>
          <w:rFonts w:ascii="HelveticaNeueLT Std" w:hAnsi="HelveticaNeueLT Std"/>
          <w:b/>
          <w:noProof/>
        </w:rPr>
        <w:t>Key drivers:</w:t>
      </w:r>
    </w:p>
    <w:p w14:paraId="2218A746" w14:textId="34C8F6FA" w:rsidR="00D67B08" w:rsidRDefault="00CA2DDC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>Flooding, p</w:t>
      </w:r>
      <w:r w:rsidR="00E215B5">
        <w:rPr>
          <w:rFonts w:ascii="HelveticaNeueLT Std" w:hAnsi="HelveticaNeueLT Std" w:cs="Optimum-Roman"/>
          <w:bCs/>
          <w:color w:val="000000"/>
          <w:sz w:val="20"/>
          <w:szCs w:val="20"/>
        </w:rPr>
        <w:t>oor water quality and waterway health w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>ere</w:t>
      </w:r>
      <w:r w:rsidR="00E215B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impacting many different stakeholders across South</w:t>
      </w:r>
      <w:r w:rsidR="001D32D1">
        <w:rPr>
          <w:rFonts w:ascii="HelveticaNeueLT Std" w:hAnsi="HelveticaNeueLT Std" w:cs="Optimum-Roman"/>
          <w:bCs/>
          <w:color w:val="000000"/>
          <w:sz w:val="20"/>
          <w:szCs w:val="20"/>
        </w:rPr>
        <w:t>-</w:t>
      </w:r>
      <w:r w:rsidR="00E215B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East Queensland. 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>Traditionally these</w:t>
      </w:r>
      <w:r w:rsidR="001D32D1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issues were addressed in isolation by the different stakeholders impacted</w:t>
      </w:r>
      <w:r w:rsidR="001E77F1">
        <w:rPr>
          <w:rFonts w:ascii="HelveticaNeueLT Std" w:hAnsi="HelveticaNeueLT Std" w:cs="Optimum-Roman"/>
          <w:bCs/>
          <w:color w:val="000000"/>
          <w:sz w:val="20"/>
          <w:szCs w:val="20"/>
        </w:rPr>
        <w:t>, including industry, government, and residents</w:t>
      </w:r>
      <w:r w:rsidR="001D32D1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.  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962462">
        <w:rPr>
          <w:rFonts w:ascii="HelveticaNeueLT Std" w:hAnsi="HelveticaNeueLT Std" w:cs="Optimum-Roman"/>
          <w:bCs/>
          <w:color w:val="000000"/>
          <w:sz w:val="20"/>
          <w:szCs w:val="20"/>
        </w:rPr>
        <w:t>However, th</w:t>
      </w:r>
      <w:r w:rsidR="001D32D1">
        <w:rPr>
          <w:rFonts w:ascii="HelveticaNeueLT Std" w:hAnsi="HelveticaNeueLT Std" w:cs="Optimum-Roman"/>
          <w:bCs/>
          <w:color w:val="000000"/>
          <w:sz w:val="20"/>
          <w:szCs w:val="20"/>
        </w:rPr>
        <w:t>is was problematic as the</w:t>
      </w:r>
      <w:r w:rsidR="00962462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issues being tackled </w:t>
      </w:r>
      <w:r w:rsidR="00D67B08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were influenced by broader catchment conditions which were outside of the individual stakeholder’s control.  </w:t>
      </w:r>
      <w:r w:rsidR="00BB6D5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For example, sediment </w:t>
      </w:r>
      <w:r w:rsidR="009C0BFE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or salinity issues which were impacting on </w:t>
      </w:r>
      <w:r w:rsidR="00D87DA1">
        <w:rPr>
          <w:rFonts w:ascii="HelveticaNeueLT Std" w:hAnsi="HelveticaNeueLT Std" w:cs="Optimum-Roman"/>
          <w:bCs/>
          <w:color w:val="000000"/>
          <w:sz w:val="20"/>
          <w:szCs w:val="20"/>
        </w:rPr>
        <w:t>d</w:t>
      </w:r>
      <w:r w:rsidR="009C0BFE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rinking water treatment </w:t>
      </w:r>
      <w:r w:rsidR="00D87DA1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processes </w:t>
      </w:r>
      <w:r w:rsidR="009C0BFE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were being driven by land management practices in the upper catchments.  </w:t>
      </w:r>
    </w:p>
    <w:p w14:paraId="789C40F4" w14:textId="7EBB951C" w:rsidR="00D67B08" w:rsidRDefault="00D67B08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Traditional </w:t>
      </w:r>
      <w:r w:rsidR="00825D6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hard infrastructure 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approaches to </w:t>
      </w:r>
      <w:r w:rsidR="00BB6D5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address </w:t>
      </w:r>
      <w:r w:rsidR="00D87DA1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water quality and </w:t>
      </w:r>
      <w:r w:rsidR="00BB6D5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flooding </w:t>
      </w:r>
      <w:r w:rsidR="00D87DA1">
        <w:rPr>
          <w:rFonts w:ascii="HelveticaNeueLT Std" w:hAnsi="HelveticaNeueLT Std" w:cs="Optimum-Roman"/>
          <w:bCs/>
          <w:color w:val="000000"/>
          <w:sz w:val="20"/>
          <w:szCs w:val="20"/>
        </w:rPr>
        <w:t>issues</w:t>
      </w:r>
      <w:r w:rsidR="00825D6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were becoming costly and difficult to </w:t>
      </w:r>
      <w:r w:rsidR="000D0F6A">
        <w:rPr>
          <w:rFonts w:ascii="HelveticaNeueLT Std" w:hAnsi="HelveticaNeueLT Std" w:cs="Optimum-Roman"/>
          <w:bCs/>
          <w:color w:val="000000"/>
          <w:sz w:val="20"/>
          <w:szCs w:val="20"/>
        </w:rPr>
        <w:t>justify</w:t>
      </w:r>
      <w:r w:rsidR="004E401C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.  Land-based management options </w:t>
      </w:r>
      <w:r w:rsidR="003A7918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(such as revegetation of floodplains and </w:t>
      </w:r>
      <w:r w:rsidR="003A7918">
        <w:rPr>
          <w:rFonts w:ascii="HelveticaNeueLT Std" w:hAnsi="HelveticaNeueLT Std" w:cs="Optimum-Roman"/>
          <w:bCs/>
          <w:color w:val="000000"/>
          <w:sz w:val="20"/>
          <w:szCs w:val="20"/>
        </w:rPr>
        <w:lastRenderedPageBreak/>
        <w:t xml:space="preserve">improved land use practices) were identified as potential solutions but these </w:t>
      </w:r>
      <w:r w:rsidR="007B0DB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needed to be undertaken and managed on private land.  </w:t>
      </w:r>
    </w:p>
    <w:p w14:paraId="7D5460A2" w14:textId="20B7C822" w:rsidR="00185145" w:rsidRDefault="00185145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>Climatic extremes (droughts and floods) will continue to put pressure on the waterways in SEQ</w:t>
      </w:r>
      <w:r w:rsidR="0087011D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and highlights the need to build resilience into these systems.  This is especially important given the important</w:t>
      </w:r>
      <w:r w:rsidR="002A4639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role these waterways </w:t>
      </w:r>
      <w:r w:rsidR="00236A7C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and productive lands </w:t>
      </w:r>
      <w:r w:rsidR="002A4639">
        <w:rPr>
          <w:rFonts w:ascii="HelveticaNeueLT Std" w:hAnsi="HelveticaNeueLT Std" w:cs="Optimum-Roman"/>
          <w:bCs/>
          <w:color w:val="000000"/>
          <w:sz w:val="20"/>
          <w:szCs w:val="20"/>
        </w:rPr>
        <w:t>play in terms of water security, economic valu</w:t>
      </w:r>
      <w:r w:rsidR="009D0672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e </w:t>
      </w:r>
      <w:r w:rsidR="002A4639">
        <w:rPr>
          <w:rFonts w:ascii="HelveticaNeueLT Std" w:hAnsi="HelveticaNeueLT Std" w:cs="Optimum-Roman"/>
          <w:bCs/>
          <w:color w:val="000000"/>
          <w:sz w:val="20"/>
          <w:szCs w:val="20"/>
        </w:rPr>
        <w:t>and social benefits provided to the growing population of the region.</w:t>
      </w:r>
    </w:p>
    <w:p w14:paraId="6948F771" w14:textId="78026D87" w:rsidR="00D77858" w:rsidRDefault="000D0F6A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>There was no mechanism to support collaborative planning and investment across catchments</w:t>
      </w:r>
      <w:r w:rsidR="007B0DB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to improve water quality, waterway health and flooding conditions.  </w:t>
      </w:r>
    </w:p>
    <w:p w14:paraId="4B4F0C97" w14:textId="77777777" w:rsidR="007B0DB0" w:rsidRPr="001C3D08" w:rsidRDefault="007B0DB0" w:rsidP="00C11F2B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HelveticaNeueLT Std" w:hAnsi="HelveticaNeueLT Std"/>
          <w:bCs/>
          <w:noProof/>
        </w:rPr>
      </w:pPr>
    </w:p>
    <w:p w14:paraId="2F498F94" w14:textId="77777777" w:rsidR="00D77858" w:rsidRPr="001C3D08" w:rsidRDefault="00D77858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 w:rsidRPr="001C3D08">
        <w:rPr>
          <w:rFonts w:ascii="HelveticaNeueLT Std" w:hAnsi="HelveticaNeueLT Std"/>
          <w:b/>
          <w:noProof/>
        </w:rPr>
        <w:t>Approach taken:</w:t>
      </w:r>
    </w:p>
    <w:p w14:paraId="2292C799" w14:textId="1FD9F211" w:rsidR="003D700B" w:rsidRDefault="007B0DB0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>The Resilient Rivers Initiative was developed</w:t>
      </w:r>
      <w:r w:rsidR="00FF1DCF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4A1D61">
        <w:rPr>
          <w:rFonts w:ascii="HelveticaNeueLT Std" w:hAnsi="HelveticaNeueLT Std" w:cs="Optimum-Roman"/>
          <w:bCs/>
          <w:color w:val="000000"/>
          <w:sz w:val="20"/>
          <w:szCs w:val="20"/>
        </w:rPr>
        <w:t>in collaboration by</w:t>
      </w:r>
      <w:r w:rsidR="004A1D61" w:rsidRPr="004A1D61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the Council of Mayors (SEQ), Queensland Government, Seqwater, Healthy Land and Water, Unitywater and Urban Utilities </w:t>
      </w:r>
      <w:r w:rsidR="00FF1DCF">
        <w:rPr>
          <w:rFonts w:ascii="HelveticaNeueLT Std" w:hAnsi="HelveticaNeueLT Std" w:cs="Optimum-Roman"/>
          <w:bCs/>
          <w:color w:val="000000"/>
          <w:sz w:val="20"/>
          <w:szCs w:val="20"/>
        </w:rPr>
        <w:t>and launched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570B48">
        <w:rPr>
          <w:rFonts w:ascii="HelveticaNeueLT Std" w:hAnsi="HelveticaNeueLT Std" w:cs="Optimum-Roman"/>
          <w:bCs/>
          <w:color w:val="000000"/>
          <w:sz w:val="20"/>
          <w:szCs w:val="20"/>
        </w:rPr>
        <w:t>in 2014</w:t>
      </w:r>
      <w:r w:rsidR="00FF1DCF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3D700B">
        <w:rPr>
          <w:rFonts w:ascii="HelveticaNeueLT Std" w:hAnsi="HelveticaNeueLT Std" w:cs="Optimum-Roman"/>
          <w:bCs/>
          <w:color w:val="000000"/>
          <w:sz w:val="20"/>
          <w:szCs w:val="20"/>
        </w:rPr>
        <w:t>with the following vision:</w:t>
      </w:r>
    </w:p>
    <w:p w14:paraId="3CE1A3AE" w14:textId="3E554696" w:rsidR="003D700B" w:rsidRPr="003D700B" w:rsidRDefault="003D700B" w:rsidP="00C11F2B">
      <w:pPr>
        <w:pStyle w:val="ListParagraph"/>
        <w:autoSpaceDE w:val="0"/>
        <w:autoSpaceDN w:val="0"/>
        <w:adjustRightInd w:val="0"/>
        <w:spacing w:line="276" w:lineRule="auto"/>
        <w:ind w:left="426"/>
        <w:rPr>
          <w:rFonts w:ascii="HelveticaNeueLT Std" w:hAnsi="HelveticaNeueLT Std" w:cs="Optimum-Roman"/>
          <w:bCs/>
          <w:i/>
          <w:iCs/>
          <w:color w:val="000000"/>
          <w:sz w:val="20"/>
          <w:szCs w:val="20"/>
        </w:rPr>
      </w:pPr>
      <w:r w:rsidRPr="003D700B">
        <w:rPr>
          <w:rFonts w:ascii="HelveticaNeueLT Std" w:hAnsi="HelveticaNeueLT Std" w:cs="Optimum-Roman"/>
          <w:bCs/>
          <w:i/>
          <w:iCs/>
          <w:color w:val="000000"/>
          <w:sz w:val="20"/>
          <w:szCs w:val="20"/>
        </w:rPr>
        <w:t>“By 2045, the catchments of South East Queensland (SEQ) will support a resilient, productive, liveable and growing region.”</w:t>
      </w:r>
    </w:p>
    <w:p w14:paraId="4581C7AB" w14:textId="5CFF7DE8" w:rsidR="006C080D" w:rsidRDefault="00A03FA9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The “South East Queensland Resilient Rivers Initiative Regional Strategy” (2015-2025) </w:t>
      </w:r>
      <w:r w:rsidR="00C967B2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supports the vision with </w:t>
      </w:r>
      <w:r w:rsidR="006409C4">
        <w:rPr>
          <w:rFonts w:ascii="HelveticaNeueLT Std" w:hAnsi="HelveticaNeueLT Std" w:cs="Optimum-Roman"/>
          <w:bCs/>
          <w:color w:val="000000"/>
          <w:sz w:val="20"/>
          <w:szCs w:val="20"/>
        </w:rPr>
        <w:t>clear goals and measures of success for the region</w:t>
      </w:r>
      <w:r w:rsidR="00B0390F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.  </w:t>
      </w:r>
      <w:r w:rsidR="00622A6A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The Resilient Rivers Taskforce oversees the delivery of this strategy.  </w:t>
      </w:r>
      <w:r w:rsidR="006C080D">
        <w:rPr>
          <w:rFonts w:ascii="HelveticaNeueLT Std" w:hAnsi="HelveticaNeueLT Std" w:cs="Optimum-Roman"/>
          <w:bCs/>
          <w:color w:val="000000"/>
          <w:sz w:val="20"/>
          <w:szCs w:val="20"/>
        </w:rPr>
        <w:t>The four goals of the Regional Strategy are:</w:t>
      </w:r>
    </w:p>
    <w:p w14:paraId="0E8167AD" w14:textId="5BE3AF40" w:rsidR="00B0390F" w:rsidRPr="00B0390F" w:rsidRDefault="00B0390F" w:rsidP="00C11F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t>Keep soil on our land and out of our waterways to support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t>agricultural productivity and improve water quality.</w:t>
      </w:r>
    </w:p>
    <w:p w14:paraId="79A5DF66" w14:textId="0FAD555B" w:rsidR="00B0390F" w:rsidRPr="00B0390F" w:rsidRDefault="00B0390F" w:rsidP="00C11F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softHyphen/>
        <w:t>Help protect our region’s water security so it can support the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t>current and future population of South East Queensland.</w:t>
      </w:r>
    </w:p>
    <w:p w14:paraId="6B7844D6" w14:textId="07B02C99" w:rsidR="00B0390F" w:rsidRPr="00B0390F" w:rsidRDefault="00B0390F" w:rsidP="00C11F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softHyphen/>
        <w:t>Improve the climate resilience of our region.</w:t>
      </w:r>
    </w:p>
    <w:p w14:paraId="03F65B9F" w14:textId="77777777" w:rsidR="00B0390F" w:rsidRDefault="00B0390F" w:rsidP="00C11F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softHyphen/>
        <w:t>Promote partnerships with strong leadership to deliver a coordinated approach to catchment management in South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Pr="00B0390F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East Queensland. </w:t>
      </w:r>
    </w:p>
    <w:p w14:paraId="7A104599" w14:textId="15927D3E" w:rsidR="005D55E1" w:rsidRDefault="004B2AC7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The Regional Strategy </w:t>
      </w:r>
      <w:r w:rsidR="00B0390F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identifies Catchment Action Plans as the mechanism to align activities and investments. </w:t>
      </w:r>
    </w:p>
    <w:p w14:paraId="43486E64" w14:textId="7FEFE845" w:rsidR="00BB7EC0" w:rsidRDefault="00781F1A" w:rsidP="00C11F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Catchment Action Plans have been undertaken </w:t>
      </w:r>
      <w:r w:rsidR="004E5BD4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across SEQ using similar approaches.  </w:t>
      </w:r>
      <w:r w:rsidR="005135C5">
        <w:rPr>
          <w:rFonts w:ascii="HelveticaNeueLT Std" w:hAnsi="HelveticaNeueLT Std" w:cs="Optimum-Roman"/>
          <w:bCs/>
          <w:color w:val="000000"/>
          <w:sz w:val="20"/>
          <w:szCs w:val="20"/>
        </w:rPr>
        <w:t>Key steps typically include:</w:t>
      </w:r>
    </w:p>
    <w:p w14:paraId="1F5BEC70" w14:textId="6BAB46BE" w:rsidR="00003783" w:rsidRDefault="005135C5" w:rsidP="005111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 w:rsidRPr="00003783"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>Building and understanding of the catchment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- 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>Literature review and</w:t>
      </w:r>
      <w:r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>/or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meetings to build understanding of catchment condition. </w:t>
      </w:r>
      <w:r w:rsidR="00900868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A71362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The Queensland Government’s </w:t>
      </w:r>
      <w:r w:rsidR="00900868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‘Walking the </w:t>
      </w:r>
      <w:r w:rsidR="00A71362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>Landscape</w:t>
      </w:r>
      <w:r w:rsidR="00003783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Catchment Stories’ is</w:t>
      </w:r>
      <w:r w:rsidR="00A71362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a useful tool at this stage in the project.  </w:t>
      </w:r>
      <w:hyperlink r:id="rId12" w:history="1">
        <w:r w:rsidR="00003783" w:rsidRPr="001D2EEE">
          <w:rPr>
            <w:rStyle w:val="Hyperlink"/>
            <w:rFonts w:ascii="HelveticaNeueLT Std" w:hAnsi="HelveticaNeueLT Std" w:cs="Optimum-Roman"/>
            <w:bCs/>
            <w:sz w:val="20"/>
            <w:szCs w:val="20"/>
          </w:rPr>
          <w:t>https://wetlandinfo.des.qld.gov.au/wetlands/ecology/processes-systems/water/catchment-stories/</w:t>
        </w:r>
      </w:hyperlink>
    </w:p>
    <w:p w14:paraId="7A7E6235" w14:textId="16CD0C9B" w:rsidR="00B91E5C" w:rsidRPr="00003783" w:rsidRDefault="00A71362" w:rsidP="005111F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 w:rsidRPr="00003783"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 xml:space="preserve">Identify the catchment values and </w:t>
      </w:r>
      <w:r w:rsidR="00303F4D"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>issues</w:t>
      </w:r>
      <w:r w:rsidRPr="00003783"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>: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Identification of </w:t>
      </w:r>
      <w:r w:rsidR="00560172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key catchment 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>assets</w:t>
      </w:r>
      <w:r w:rsidR="00560172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>, services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5E72F8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provided 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and threats </w:t>
      </w:r>
      <w:r w:rsidR="008A59FF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>is undertaken, ideally with input from the</w:t>
      </w:r>
      <w:r w:rsidR="00B91E5C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broader stakeholder group. </w:t>
      </w:r>
      <w:r w:rsidR="008A59FF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1F526A" w:rsidRPr="00003783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Assets included in this assessment include those which provide broader benefits to the region and are affected by water quality, erosion and sediment and / or extreme weather events (e.g. droughts and flooding).  </w:t>
      </w:r>
      <w:r w:rsidR="00D45A4A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This can range from </w:t>
      </w:r>
      <w:r w:rsidR="00875542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natural assets, productive land assets, water supply and wastewater infrastructure assets, </w:t>
      </w:r>
      <w:r w:rsidR="007312AF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stormwater and transport infrastructure assets, economic hubs and cultural and social assets.  </w:t>
      </w:r>
    </w:p>
    <w:p w14:paraId="267C802F" w14:textId="7BA7C08B" w:rsidR="00B91E5C" w:rsidRPr="00B91E5C" w:rsidRDefault="00BF64EA" w:rsidP="00C11F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hanging="294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>Risk and treatment assessment: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 risk-based approach is undertaken to 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identify 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>risks to assets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, current </w:t>
      </w:r>
      <w:r w:rsidR="00303F4D">
        <w:rPr>
          <w:rFonts w:ascii="HelveticaNeueLT Std" w:hAnsi="HelveticaNeueLT Std" w:cs="Optimum-Roman"/>
          <w:bCs/>
          <w:color w:val="000000"/>
          <w:sz w:val="20"/>
          <w:szCs w:val="20"/>
        </w:rPr>
        <w:t>protections,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and preferred 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additional </w:t>
      </w:r>
      <w:r w:rsidR="00303F4D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mitigation 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>treatments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.  </w:t>
      </w:r>
      <w:r w:rsidR="00303F4D">
        <w:rPr>
          <w:rFonts w:ascii="HelveticaNeueLT Std" w:hAnsi="HelveticaNeueLT Std" w:cs="Optimum-Roman"/>
          <w:bCs/>
          <w:color w:val="000000"/>
          <w:sz w:val="20"/>
          <w:szCs w:val="20"/>
        </w:rPr>
        <w:t>Again,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this is </w:t>
      </w:r>
      <w:r w:rsidR="00303F4D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ideally undertaken 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>with input from the broader stakeholder group</w:t>
      </w:r>
      <w:r w:rsidR="00303F4D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/ asset owners</w:t>
      </w:r>
      <w:r w:rsidR="00EB515B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.  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</w:p>
    <w:p w14:paraId="020495ED" w14:textId="43BBEF0E" w:rsidR="00B91E5C" w:rsidRPr="00B91E5C" w:rsidRDefault="00303F4D" w:rsidP="00C11F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>Prioritisation of actions:</w:t>
      </w:r>
      <w:r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DD04E2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All potential actions identified are further </w:t>
      </w:r>
      <w:r w:rsidR="00E54109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investigated and discussed across the broader stakeholder group to understand 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>feasibility and likelihood of success</w:t>
      </w:r>
      <w:r w:rsidR="00DD04E2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.  </w:t>
      </w:r>
      <w:r w:rsidR="00E54109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High priority actions are identified as part of this process for inclusion in the Action Plan. </w:t>
      </w:r>
    </w:p>
    <w:p w14:paraId="4D0CE004" w14:textId="2913DD69" w:rsidR="00B91E5C" w:rsidRPr="00B0390F" w:rsidRDefault="00A1231D" w:rsidP="00C11F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HelveticaNeueLT Std" w:hAnsi="HelveticaNeueLT Std" w:cs="Optimum-Roman"/>
          <w:bCs/>
          <w:color w:val="000000"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  <w:u w:val="single"/>
        </w:rPr>
        <w:t>Publication of Catchment Action Plan:</w:t>
      </w:r>
      <w:r w:rsidR="00B91E5C" w:rsidRPr="005135C5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The outcomes of the process is documented in the Catchment Action Plan which is endorsed by the stakeholders </w:t>
      </w:r>
      <w:r w:rsidR="008B77FA">
        <w:rPr>
          <w:rFonts w:ascii="HelveticaNeueLT Std" w:hAnsi="HelveticaNeueLT Std" w:cs="Optimum-Roman"/>
          <w:bCs/>
          <w:color w:val="000000"/>
          <w:sz w:val="20"/>
          <w:szCs w:val="20"/>
        </w:rPr>
        <w:t>t</w:t>
      </w:r>
      <w:r w:rsidR="004261AE">
        <w:rPr>
          <w:rFonts w:ascii="HelveticaNeueLT Std" w:hAnsi="HelveticaNeueLT Std" w:cs="Optimum-Roman"/>
          <w:bCs/>
          <w:color w:val="000000"/>
          <w:sz w:val="20"/>
          <w:szCs w:val="20"/>
        </w:rPr>
        <w:t>o be used to guide</w:t>
      </w:r>
      <w:r w:rsidR="00E7327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collaborative delivery and</w:t>
      </w:r>
      <w:r w:rsidR="004261AE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E73270">
        <w:rPr>
          <w:rFonts w:ascii="HelveticaNeueLT Std" w:hAnsi="HelveticaNeueLT Std" w:cs="Optimum-Roman"/>
          <w:bCs/>
          <w:color w:val="000000"/>
          <w:sz w:val="20"/>
          <w:szCs w:val="20"/>
        </w:rPr>
        <w:t>investment in catchment actions.</w:t>
      </w:r>
      <w:r w:rsidR="004261AE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  <w:r w:rsidR="002B72ED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This is published online </w:t>
      </w:r>
      <w:r w:rsidR="00FA130C">
        <w:rPr>
          <w:rFonts w:ascii="HelveticaNeueLT Std" w:hAnsi="HelveticaNeueLT Std" w:cs="Optimum-Roman"/>
          <w:bCs/>
          <w:color w:val="000000"/>
          <w:sz w:val="20"/>
          <w:szCs w:val="20"/>
        </w:rPr>
        <w:t>and is available for download.</w:t>
      </w:r>
      <w:r w:rsidR="00C51BED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 </w:t>
      </w:r>
    </w:p>
    <w:p w14:paraId="1913CEB0" w14:textId="77777777" w:rsidR="00D77858" w:rsidRPr="001C3D08" w:rsidRDefault="00D77858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</w:p>
    <w:p w14:paraId="27ECF567" w14:textId="77777777" w:rsidR="00D77858" w:rsidRPr="001C3D08" w:rsidRDefault="00D77858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 w:rsidRPr="001C3D08">
        <w:rPr>
          <w:rFonts w:ascii="HelveticaNeueLT Std" w:hAnsi="HelveticaNeueLT Std"/>
          <w:b/>
          <w:noProof/>
        </w:rPr>
        <w:t>Outcomes:</w:t>
      </w:r>
    </w:p>
    <w:p w14:paraId="53247CA1" w14:textId="1F0E863C" w:rsidR="00AB0743" w:rsidRDefault="00461000" w:rsidP="00C11F2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sz w:val="20"/>
          <w:szCs w:val="20"/>
        </w:rPr>
      </w:pPr>
      <w:r>
        <w:rPr>
          <w:rFonts w:ascii="HelveticaNeueLT Std" w:hAnsi="HelveticaNeueLT Std"/>
          <w:bCs/>
          <w:noProof/>
          <w:sz w:val="20"/>
          <w:szCs w:val="20"/>
        </w:rPr>
        <w:t>Catchment Actions Plans have been developed for key SEQ Catchments including</w:t>
      </w:r>
      <w:r w:rsidR="005D635E">
        <w:rPr>
          <w:rFonts w:ascii="HelveticaNeueLT Std" w:hAnsi="HelveticaNeueLT Std"/>
          <w:bCs/>
          <w:noProof/>
          <w:sz w:val="20"/>
          <w:szCs w:val="20"/>
        </w:rPr>
        <w:t xml:space="preserve"> the Bremer River</w:t>
      </w:r>
      <w:r w:rsidR="00856BF8">
        <w:rPr>
          <w:rFonts w:ascii="HelveticaNeueLT Std" w:hAnsi="HelveticaNeueLT Std"/>
          <w:bCs/>
          <w:noProof/>
          <w:sz w:val="20"/>
          <w:szCs w:val="20"/>
        </w:rPr>
        <w:t xml:space="preserve"> Catchment</w:t>
      </w:r>
      <w:r w:rsidR="005D635E">
        <w:rPr>
          <w:rFonts w:ascii="HelveticaNeueLT Std" w:hAnsi="HelveticaNeueLT Std"/>
          <w:bCs/>
          <w:noProof/>
          <w:sz w:val="20"/>
          <w:szCs w:val="20"/>
        </w:rPr>
        <w:t xml:space="preserve">, Lower Brisbane – Redlands Coastal Catchment, Logan-Albert Catchment, </w:t>
      </w:r>
      <w:r w:rsidR="00856BF8">
        <w:rPr>
          <w:rFonts w:ascii="HelveticaNeueLT Std" w:hAnsi="HelveticaNeueLT Std"/>
          <w:bCs/>
          <w:noProof/>
          <w:sz w:val="20"/>
          <w:szCs w:val="20"/>
        </w:rPr>
        <w:t xml:space="preserve">Mid-Brisbane </w:t>
      </w:r>
      <w:r w:rsidR="00856BF8">
        <w:rPr>
          <w:rFonts w:ascii="HelveticaNeueLT Std" w:hAnsi="HelveticaNeueLT Std"/>
          <w:bCs/>
          <w:noProof/>
          <w:sz w:val="20"/>
          <w:szCs w:val="20"/>
        </w:rPr>
        <w:lastRenderedPageBreak/>
        <w:t>Catchment, Lockyer Catchment</w:t>
      </w:r>
      <w:r w:rsidR="003A13E7">
        <w:rPr>
          <w:rFonts w:ascii="HelveticaNeueLT Std" w:hAnsi="HelveticaNeueLT Std"/>
          <w:bCs/>
          <w:noProof/>
          <w:sz w:val="20"/>
          <w:szCs w:val="20"/>
        </w:rPr>
        <w:t xml:space="preserve"> and the</w:t>
      </w:r>
      <w:r w:rsidR="00856BF8">
        <w:rPr>
          <w:rFonts w:ascii="HelveticaNeueLT Std" w:hAnsi="HelveticaNeueLT Std"/>
          <w:bCs/>
          <w:noProof/>
          <w:sz w:val="20"/>
          <w:szCs w:val="20"/>
        </w:rPr>
        <w:t xml:space="preserve"> Pumicestone Passage and Catchment</w:t>
      </w:r>
      <w:r w:rsidR="00AB0743">
        <w:rPr>
          <w:rFonts w:ascii="HelveticaNeueLT Std" w:hAnsi="HelveticaNeueLT Std"/>
          <w:bCs/>
          <w:noProof/>
          <w:sz w:val="20"/>
          <w:szCs w:val="20"/>
        </w:rPr>
        <w:t xml:space="preserve"> setting a coordinated and priorised list of actions to address</w:t>
      </w:r>
      <w:r w:rsidR="00A2417E">
        <w:rPr>
          <w:rFonts w:ascii="HelveticaNeueLT Std" w:hAnsi="HelveticaNeueLT Std"/>
          <w:bCs/>
          <w:noProof/>
          <w:sz w:val="20"/>
          <w:szCs w:val="20"/>
        </w:rPr>
        <w:t xml:space="preserve"> waterway and catchment </w:t>
      </w:r>
      <w:r w:rsidR="00AB0743">
        <w:rPr>
          <w:rFonts w:ascii="HelveticaNeueLT Std" w:hAnsi="HelveticaNeueLT Std"/>
          <w:bCs/>
          <w:noProof/>
          <w:sz w:val="20"/>
          <w:szCs w:val="20"/>
        </w:rPr>
        <w:t>risks</w:t>
      </w:r>
      <w:r w:rsidR="00A2417E">
        <w:rPr>
          <w:rFonts w:ascii="HelveticaNeueLT Std" w:hAnsi="HelveticaNeueLT Std"/>
          <w:bCs/>
          <w:noProof/>
          <w:sz w:val="20"/>
          <w:szCs w:val="20"/>
        </w:rPr>
        <w:t>.</w:t>
      </w:r>
    </w:p>
    <w:p w14:paraId="28C8D7B5" w14:textId="12784E54" w:rsidR="008C02A0" w:rsidRDefault="00352509" w:rsidP="00C11F2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sz w:val="20"/>
          <w:szCs w:val="20"/>
        </w:rPr>
      </w:pPr>
      <w:r>
        <w:rPr>
          <w:rFonts w:ascii="HelveticaNeueLT Std" w:hAnsi="HelveticaNeueLT Std"/>
          <w:bCs/>
          <w:noProof/>
          <w:sz w:val="20"/>
          <w:szCs w:val="20"/>
        </w:rPr>
        <w:t xml:space="preserve">The collaborative process undertaken through the process between government, indsutry and community builds a common undertanding of the key issues and opportunities </w:t>
      </w:r>
      <w:r w:rsidR="008C02A0">
        <w:rPr>
          <w:rFonts w:ascii="HelveticaNeueLT Std" w:hAnsi="HelveticaNeueLT Std"/>
          <w:bCs/>
          <w:noProof/>
          <w:sz w:val="20"/>
          <w:szCs w:val="20"/>
        </w:rPr>
        <w:t xml:space="preserve">facing the local catchment.  This process </w:t>
      </w:r>
      <w:r w:rsidR="009A3806">
        <w:rPr>
          <w:rFonts w:ascii="HelveticaNeueLT Std" w:hAnsi="HelveticaNeueLT Std"/>
          <w:bCs/>
          <w:noProof/>
          <w:sz w:val="20"/>
          <w:szCs w:val="20"/>
        </w:rPr>
        <w:t>is</w:t>
      </w:r>
      <w:r w:rsidR="008C02A0">
        <w:rPr>
          <w:rFonts w:ascii="HelveticaNeueLT Std" w:hAnsi="HelveticaNeueLT Std"/>
          <w:bCs/>
          <w:noProof/>
          <w:sz w:val="20"/>
          <w:szCs w:val="20"/>
        </w:rPr>
        <w:t xml:space="preserve"> </w:t>
      </w:r>
      <w:r w:rsidR="009A3806">
        <w:rPr>
          <w:rFonts w:ascii="HelveticaNeueLT Std" w:hAnsi="HelveticaNeueLT Std"/>
          <w:bCs/>
          <w:noProof/>
          <w:sz w:val="20"/>
          <w:szCs w:val="20"/>
        </w:rPr>
        <w:t xml:space="preserve">important to understand how current activities across the different stakeholder groups can be better aligned and also identify future oppirtunities for co-investment and delivery.  </w:t>
      </w:r>
    </w:p>
    <w:p w14:paraId="27352915" w14:textId="660E7526" w:rsidR="001023A8" w:rsidRPr="007F1D46" w:rsidRDefault="00233626" w:rsidP="009B7C7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sz w:val="20"/>
          <w:szCs w:val="20"/>
        </w:rPr>
      </w:pPr>
      <w:r w:rsidRPr="007F1D46">
        <w:rPr>
          <w:rFonts w:ascii="HelveticaNeueLT Std" w:hAnsi="HelveticaNeueLT Std"/>
          <w:bCs/>
          <w:noProof/>
          <w:sz w:val="20"/>
          <w:szCs w:val="20"/>
        </w:rPr>
        <w:t>The clear and coordinated action plans have</w:t>
      </w:r>
      <w:r w:rsidR="006F7B43" w:rsidRPr="007F1D46">
        <w:rPr>
          <w:rFonts w:ascii="HelveticaNeueLT Std" w:hAnsi="HelveticaNeueLT Std"/>
          <w:bCs/>
          <w:noProof/>
          <w:sz w:val="20"/>
          <w:szCs w:val="20"/>
        </w:rPr>
        <w:t xml:space="preserve"> </w:t>
      </w:r>
      <w:r w:rsidR="00D62501" w:rsidRPr="007F1D46">
        <w:rPr>
          <w:rFonts w:ascii="HelveticaNeueLT Std" w:hAnsi="HelveticaNeueLT Std"/>
          <w:bCs/>
          <w:noProof/>
          <w:sz w:val="20"/>
          <w:szCs w:val="20"/>
        </w:rPr>
        <w:t xml:space="preserve">provided stakeholders with </w:t>
      </w:r>
      <w:r w:rsidRPr="007F1D46">
        <w:rPr>
          <w:rFonts w:ascii="HelveticaNeueLT Std" w:hAnsi="HelveticaNeueLT Std"/>
          <w:bCs/>
          <w:noProof/>
          <w:sz w:val="20"/>
          <w:szCs w:val="20"/>
        </w:rPr>
        <w:t xml:space="preserve">confidence to contribute money to the </w:t>
      </w:r>
      <w:r w:rsidR="00D62501" w:rsidRPr="007F1D46">
        <w:rPr>
          <w:rFonts w:ascii="HelveticaNeueLT Std" w:hAnsi="HelveticaNeueLT Std"/>
          <w:bCs/>
          <w:noProof/>
          <w:sz w:val="20"/>
          <w:szCs w:val="20"/>
        </w:rPr>
        <w:t xml:space="preserve">Reslience River Iniaitive to </w:t>
      </w:r>
      <w:r w:rsidRPr="007F1D46">
        <w:rPr>
          <w:rFonts w:ascii="HelveticaNeueLT Std" w:hAnsi="HelveticaNeueLT Std"/>
          <w:bCs/>
          <w:noProof/>
          <w:sz w:val="20"/>
          <w:szCs w:val="20"/>
        </w:rPr>
        <w:t xml:space="preserve">be spent across the </w:t>
      </w:r>
      <w:r w:rsidR="002F29A9" w:rsidRPr="007F1D46">
        <w:rPr>
          <w:rFonts w:ascii="HelveticaNeueLT Std" w:hAnsi="HelveticaNeueLT Std"/>
          <w:bCs/>
          <w:noProof/>
          <w:sz w:val="20"/>
          <w:szCs w:val="20"/>
        </w:rPr>
        <w:t>SEQ catchments</w:t>
      </w:r>
      <w:r w:rsidR="00D17A5C" w:rsidRPr="007F1D46">
        <w:rPr>
          <w:rFonts w:ascii="HelveticaNeueLT Std" w:hAnsi="HelveticaNeueLT Std"/>
          <w:bCs/>
          <w:noProof/>
          <w:sz w:val="20"/>
          <w:szCs w:val="20"/>
        </w:rPr>
        <w:t>, including water authoriti</w:t>
      </w:r>
      <w:r w:rsidR="00DC5EBF" w:rsidRPr="007F1D46">
        <w:rPr>
          <w:rFonts w:ascii="HelveticaNeueLT Std" w:hAnsi="HelveticaNeueLT Std"/>
          <w:bCs/>
          <w:noProof/>
          <w:sz w:val="20"/>
          <w:szCs w:val="20"/>
        </w:rPr>
        <w:t>es</w:t>
      </w:r>
      <w:r w:rsidR="00D17A5C" w:rsidRPr="007F1D46">
        <w:rPr>
          <w:rFonts w:ascii="HelveticaNeueLT Std" w:hAnsi="HelveticaNeueLT Std"/>
          <w:bCs/>
          <w:noProof/>
          <w:sz w:val="20"/>
          <w:szCs w:val="20"/>
        </w:rPr>
        <w:t xml:space="preserve"> funding land-based catchment improvement projects such as floodplain revegetation</w:t>
      </w:r>
      <w:r w:rsidR="00DC5EBF" w:rsidRPr="007F1D46">
        <w:rPr>
          <w:rFonts w:ascii="HelveticaNeueLT Std" w:hAnsi="HelveticaNeueLT Std"/>
          <w:bCs/>
          <w:noProof/>
          <w:sz w:val="20"/>
          <w:szCs w:val="20"/>
        </w:rPr>
        <w:t xml:space="preserve"> and waterway stabilisation projects on private properties.</w:t>
      </w:r>
      <w:r w:rsidR="00D17A5C" w:rsidRPr="007F1D46">
        <w:rPr>
          <w:rFonts w:ascii="HelveticaNeueLT Std" w:hAnsi="HelveticaNeueLT Std"/>
          <w:bCs/>
          <w:noProof/>
          <w:sz w:val="20"/>
          <w:szCs w:val="20"/>
        </w:rPr>
        <w:t xml:space="preserve"> </w:t>
      </w:r>
      <w:r w:rsidR="008E0A4A" w:rsidRPr="007F1D46">
        <w:rPr>
          <w:rFonts w:ascii="HelveticaNeueLT Std" w:hAnsi="HelveticaNeueLT Std"/>
          <w:bCs/>
          <w:noProof/>
          <w:sz w:val="20"/>
          <w:szCs w:val="20"/>
        </w:rPr>
        <w:t xml:space="preserve">A map of delivered projects can be </w:t>
      </w:r>
      <w:r w:rsidR="007030C8" w:rsidRPr="007F1D46">
        <w:rPr>
          <w:rFonts w:ascii="HelveticaNeueLT Std" w:hAnsi="HelveticaNeueLT Std"/>
          <w:bCs/>
          <w:noProof/>
          <w:sz w:val="20"/>
          <w:szCs w:val="20"/>
        </w:rPr>
        <w:t xml:space="preserve">viewed here: </w:t>
      </w:r>
      <w:hyperlink r:id="rId13" w:history="1">
        <w:r w:rsidR="007030C8" w:rsidRPr="007F1D46">
          <w:rPr>
            <w:rStyle w:val="Hyperlink"/>
            <w:rFonts w:ascii="HelveticaNeueLT Std" w:hAnsi="HelveticaNeueLT Std"/>
            <w:bCs/>
            <w:noProof/>
            <w:sz w:val="20"/>
            <w:szCs w:val="20"/>
          </w:rPr>
          <w:t>https://resilientrivers.com.au/map/site/kholo-bridge-604XR6SN3noGn3gmX652</w:t>
        </w:r>
      </w:hyperlink>
      <w:r w:rsidR="00115B78" w:rsidRPr="007F1D46">
        <w:rPr>
          <w:rFonts w:ascii="HelveticaNeueLT Std" w:hAnsi="HelveticaNeueLT Std"/>
          <w:bCs/>
          <w:noProof/>
          <w:sz w:val="20"/>
          <w:szCs w:val="20"/>
        </w:rPr>
        <w:t xml:space="preserve">.  </w:t>
      </w:r>
    </w:p>
    <w:p w14:paraId="44DBDCC9" w14:textId="53B10F91" w:rsidR="00C51BED" w:rsidRDefault="00FA130C" w:rsidP="00E567A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sz w:val="20"/>
          <w:szCs w:val="20"/>
        </w:rPr>
      </w:pPr>
      <w:r>
        <w:rPr>
          <w:rFonts w:ascii="HelveticaNeueLT Std" w:hAnsi="HelveticaNeueLT Std" w:cs="Optimum-Roman"/>
          <w:bCs/>
          <w:color w:val="000000"/>
          <w:sz w:val="20"/>
          <w:szCs w:val="20"/>
        </w:rPr>
        <w:t>The publicly available Catchment Action Plans also provide</w:t>
      </w:r>
      <w:r w:rsidR="004E6267">
        <w:rPr>
          <w:rFonts w:ascii="HelveticaNeueLT Std" w:hAnsi="HelveticaNeueLT Std" w:cs="Optimum-Roman"/>
          <w:bCs/>
          <w:color w:val="000000"/>
          <w:sz w:val="20"/>
          <w:szCs w:val="20"/>
        </w:rPr>
        <w:t>s</w:t>
      </w:r>
      <w:r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a useful resource </w:t>
      </w:r>
      <w:r w:rsidR="00F8511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for communicating </w:t>
      </w:r>
      <w:r w:rsidR="00C92447">
        <w:rPr>
          <w:rFonts w:ascii="HelveticaNeueLT Std" w:hAnsi="HelveticaNeueLT Std" w:cs="Optimum-Roman"/>
          <w:bCs/>
          <w:color w:val="000000"/>
          <w:sz w:val="20"/>
          <w:szCs w:val="20"/>
        </w:rPr>
        <w:t>how actions across the catchment can influence</w:t>
      </w:r>
      <w:r w:rsidR="00F85110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drinking water, flooding and other waterway health issues. </w:t>
      </w:r>
      <w:r w:rsidR="007B6A4A">
        <w:rPr>
          <w:rFonts w:ascii="HelveticaNeueLT Std" w:hAnsi="HelveticaNeueLT Std" w:cs="Optimum-Roman"/>
          <w:bCs/>
          <w:color w:val="000000"/>
          <w:sz w:val="20"/>
          <w:szCs w:val="20"/>
        </w:rPr>
        <w:t xml:space="preserve"> </w:t>
      </w:r>
    </w:p>
    <w:p w14:paraId="1E38BB1E" w14:textId="77777777" w:rsidR="001518EA" w:rsidRPr="005A4C00" w:rsidRDefault="001518EA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lang w:val="en-GB"/>
        </w:rPr>
      </w:pPr>
    </w:p>
    <w:p w14:paraId="556E9B79" w14:textId="42200082" w:rsidR="00D77858" w:rsidRPr="00AD5520" w:rsidRDefault="00D77858" w:rsidP="00C11F2B">
      <w:pPr>
        <w:autoSpaceDE w:val="0"/>
        <w:autoSpaceDN w:val="0"/>
        <w:adjustRightInd w:val="0"/>
        <w:spacing w:line="276" w:lineRule="auto"/>
        <w:rPr>
          <w:rFonts w:ascii="HelveticaNeueLT Std" w:hAnsi="HelveticaNeueLT Std"/>
          <w:b/>
          <w:noProof/>
        </w:rPr>
      </w:pPr>
      <w:r w:rsidRPr="00AD5520">
        <w:rPr>
          <w:rFonts w:ascii="HelveticaNeueLT Std" w:hAnsi="HelveticaNeueLT Std"/>
          <w:b/>
          <w:noProof/>
        </w:rPr>
        <w:t>Lessons learnt</w:t>
      </w:r>
      <w:r w:rsidR="00AD5520" w:rsidRPr="00AD5520">
        <w:rPr>
          <w:rFonts w:ascii="HelveticaNeueLT Std" w:hAnsi="HelveticaNeueLT Std"/>
          <w:b/>
          <w:noProof/>
        </w:rPr>
        <w:t xml:space="preserve"> </w:t>
      </w:r>
      <w:r w:rsidR="00AD5520" w:rsidRPr="00D4407D">
        <w:rPr>
          <w:rFonts w:ascii="HelveticaNeueLT Std" w:hAnsi="HelveticaNeueLT Std" w:cs="Optimum-Roman"/>
          <w:b/>
          <w:color w:val="000000"/>
        </w:rPr>
        <w:t>and critical success factors.</w:t>
      </w:r>
    </w:p>
    <w:p w14:paraId="3C2DFDB2" w14:textId="20824AE6" w:rsidR="00B244E0" w:rsidRDefault="00F82B5C" w:rsidP="00F82B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sz w:val="20"/>
          <w:szCs w:val="20"/>
        </w:rPr>
      </w:pPr>
      <w:r>
        <w:rPr>
          <w:rFonts w:ascii="HelveticaNeueLT Std" w:hAnsi="HelveticaNeueLT Std"/>
          <w:bCs/>
          <w:noProof/>
          <w:sz w:val="20"/>
          <w:szCs w:val="20"/>
        </w:rPr>
        <w:t xml:space="preserve">The success of the </w:t>
      </w:r>
      <w:r w:rsidR="00B244E0">
        <w:rPr>
          <w:rFonts w:ascii="HelveticaNeueLT Std" w:hAnsi="HelveticaNeueLT Std"/>
          <w:bCs/>
          <w:noProof/>
          <w:sz w:val="20"/>
          <w:szCs w:val="20"/>
        </w:rPr>
        <w:t xml:space="preserve">Resilient Rivers Initiative is reliant on the coordinated and collaborative approach undertaken in the development of the Catchment Action Plans.  If </w:t>
      </w:r>
      <w:r w:rsidR="00636B60">
        <w:rPr>
          <w:rFonts w:ascii="HelveticaNeueLT Std" w:hAnsi="HelveticaNeueLT Std"/>
          <w:bCs/>
          <w:noProof/>
          <w:sz w:val="20"/>
          <w:szCs w:val="20"/>
        </w:rPr>
        <w:t xml:space="preserve">key stakeholders are not included </w:t>
      </w:r>
      <w:r w:rsidR="0040780D">
        <w:rPr>
          <w:rFonts w:ascii="HelveticaNeueLT Std" w:hAnsi="HelveticaNeueLT Std"/>
          <w:bCs/>
          <w:noProof/>
          <w:sz w:val="20"/>
          <w:szCs w:val="20"/>
        </w:rPr>
        <w:t xml:space="preserve">effectivelss </w:t>
      </w:r>
      <w:r w:rsidR="00636B60">
        <w:rPr>
          <w:rFonts w:ascii="HelveticaNeueLT Std" w:hAnsi="HelveticaNeueLT Std"/>
          <w:bCs/>
          <w:noProof/>
          <w:sz w:val="20"/>
          <w:szCs w:val="20"/>
        </w:rPr>
        <w:t xml:space="preserve">in this planning process, there is a large risk that the </w:t>
      </w:r>
      <w:r w:rsidR="007C4DDC">
        <w:rPr>
          <w:rFonts w:ascii="HelveticaNeueLT Std" w:hAnsi="HelveticaNeueLT Std"/>
          <w:bCs/>
          <w:noProof/>
          <w:sz w:val="20"/>
          <w:szCs w:val="20"/>
        </w:rPr>
        <w:t>ultimate outcomes will not be achieved as important knowledge</w:t>
      </w:r>
      <w:r w:rsidR="0040780D">
        <w:rPr>
          <w:rFonts w:ascii="HelveticaNeueLT Std" w:hAnsi="HelveticaNeueLT Std"/>
          <w:bCs/>
          <w:noProof/>
          <w:sz w:val="20"/>
          <w:szCs w:val="20"/>
        </w:rPr>
        <w:t xml:space="preserve">, actions and investment </w:t>
      </w:r>
      <w:r w:rsidR="007C4DDC">
        <w:rPr>
          <w:rFonts w:ascii="HelveticaNeueLT Std" w:hAnsi="HelveticaNeueLT Std"/>
          <w:bCs/>
          <w:noProof/>
          <w:sz w:val="20"/>
          <w:szCs w:val="20"/>
        </w:rPr>
        <w:t xml:space="preserve">will be missing.  </w:t>
      </w:r>
      <w:r w:rsidR="00636B60">
        <w:rPr>
          <w:rFonts w:ascii="HelveticaNeueLT Std" w:hAnsi="HelveticaNeueLT Std"/>
          <w:bCs/>
          <w:noProof/>
          <w:sz w:val="20"/>
          <w:szCs w:val="20"/>
        </w:rPr>
        <w:t xml:space="preserve"> </w:t>
      </w:r>
    </w:p>
    <w:p w14:paraId="1D838F9C" w14:textId="46CE54ED" w:rsidR="007C4DDC" w:rsidRDefault="00DF2B26" w:rsidP="00F82B5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HelveticaNeueLT Std" w:hAnsi="HelveticaNeueLT Std"/>
          <w:bCs/>
          <w:noProof/>
          <w:sz w:val="20"/>
          <w:szCs w:val="20"/>
        </w:rPr>
      </w:pPr>
      <w:r>
        <w:rPr>
          <w:rFonts w:ascii="HelveticaNeueLT Std" w:hAnsi="HelveticaNeueLT Std"/>
          <w:bCs/>
          <w:noProof/>
          <w:sz w:val="20"/>
          <w:szCs w:val="20"/>
        </w:rPr>
        <w:t xml:space="preserve">Ongoing monitoring and evaluation of the </w:t>
      </w:r>
      <w:r w:rsidR="00890FF3">
        <w:rPr>
          <w:rFonts w:ascii="HelveticaNeueLT Std" w:hAnsi="HelveticaNeueLT Std"/>
          <w:bCs/>
          <w:noProof/>
          <w:sz w:val="20"/>
          <w:szCs w:val="20"/>
        </w:rPr>
        <w:t>Reslient Rivers Initiative</w:t>
      </w:r>
      <w:r w:rsidR="006D79F0">
        <w:rPr>
          <w:rFonts w:ascii="HelveticaNeueLT Std" w:hAnsi="HelveticaNeueLT Std"/>
          <w:bCs/>
          <w:noProof/>
          <w:sz w:val="20"/>
          <w:szCs w:val="20"/>
        </w:rPr>
        <w:t xml:space="preserve"> </w:t>
      </w:r>
      <w:r w:rsidR="00890FF3">
        <w:rPr>
          <w:rFonts w:ascii="HelveticaNeueLT Std" w:hAnsi="HelveticaNeueLT Std"/>
          <w:bCs/>
          <w:noProof/>
          <w:sz w:val="20"/>
          <w:szCs w:val="20"/>
        </w:rPr>
        <w:t xml:space="preserve">measures of success will be important to understand how effective </w:t>
      </w:r>
      <w:r w:rsidR="00110C0E">
        <w:rPr>
          <w:rFonts w:ascii="HelveticaNeueLT Std" w:hAnsi="HelveticaNeueLT Std"/>
          <w:bCs/>
          <w:noProof/>
          <w:sz w:val="20"/>
          <w:szCs w:val="20"/>
        </w:rPr>
        <w:t>it has been</w:t>
      </w:r>
      <w:r w:rsidR="006D79F0">
        <w:rPr>
          <w:rFonts w:ascii="HelveticaNeueLT Std" w:hAnsi="HelveticaNeueLT Std"/>
          <w:bCs/>
          <w:noProof/>
          <w:sz w:val="20"/>
          <w:szCs w:val="20"/>
        </w:rPr>
        <w:t xml:space="preserve"> and it’s future </w:t>
      </w:r>
      <w:r w:rsidR="005F231C">
        <w:rPr>
          <w:rFonts w:ascii="HelveticaNeueLT Std" w:hAnsi="HelveticaNeueLT Std"/>
          <w:bCs/>
          <w:noProof/>
          <w:sz w:val="20"/>
          <w:szCs w:val="20"/>
        </w:rPr>
        <w:t>application.  This will also pr</w:t>
      </w:r>
      <w:r w:rsidR="00110C0E">
        <w:rPr>
          <w:rFonts w:ascii="HelveticaNeueLT Std" w:hAnsi="HelveticaNeueLT Std"/>
          <w:bCs/>
          <w:noProof/>
          <w:sz w:val="20"/>
          <w:szCs w:val="20"/>
        </w:rPr>
        <w:t xml:space="preserve">ovide the evidence base for similar approaches to be adopted elsewhere. </w:t>
      </w:r>
    </w:p>
    <w:p w14:paraId="1E39CF1E" w14:textId="7EA7EBD1" w:rsidR="00AD5520" w:rsidRDefault="00AD5520" w:rsidP="00D77858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bCs/>
          <w:noProof/>
        </w:rPr>
      </w:pPr>
    </w:p>
    <w:p w14:paraId="5802A549" w14:textId="788BD907" w:rsidR="00AD5520" w:rsidRPr="000810F2" w:rsidRDefault="00AD5520" w:rsidP="00D77858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bCs/>
          <w:noProof/>
        </w:rPr>
      </w:pPr>
    </w:p>
    <w:p w14:paraId="62FC168A" w14:textId="374A3B6E" w:rsidR="0032633E" w:rsidRDefault="005A4C00" w:rsidP="00D77858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bCs/>
          <w:noProof/>
        </w:rPr>
      </w:pPr>
      <w:r>
        <w:rPr>
          <w:rFonts w:ascii="HelveticaNeueLT Std" w:hAnsi="HelveticaNeueLT Std"/>
          <w:b/>
          <w:noProof/>
        </w:rPr>
        <w:t>Supporting Figures:</w:t>
      </w:r>
    </w:p>
    <w:p w14:paraId="7BF984C5" w14:textId="41800EC1" w:rsidR="00C87B0B" w:rsidRDefault="00C87B0B" w:rsidP="00D77858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bCs/>
          <w:noProof/>
        </w:rPr>
      </w:pPr>
    </w:p>
    <w:p w14:paraId="16331DF7" w14:textId="77777777" w:rsidR="0032633E" w:rsidRDefault="0032633E" w:rsidP="00D77858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bCs/>
          <w:noProof/>
        </w:rPr>
      </w:pPr>
    </w:p>
    <w:p w14:paraId="7314DC86" w14:textId="6B08DB41" w:rsidR="004B2941" w:rsidRDefault="004B2941" w:rsidP="004B2941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>ADDITIONAL INFORMATION</w:t>
      </w:r>
      <w:r w:rsidR="00AC0FB6">
        <w:rPr>
          <w:rFonts w:cs="Arial"/>
          <w:sz w:val="20"/>
        </w:rPr>
        <w:t xml:space="preserve"> / USEFUL Links</w:t>
      </w:r>
    </w:p>
    <w:p w14:paraId="05635D7B" w14:textId="77777777" w:rsidR="004B2941" w:rsidRPr="004B2941" w:rsidRDefault="004B2941" w:rsidP="004B2941"/>
    <w:p w14:paraId="35FDC422" w14:textId="47C3F50C" w:rsidR="009F2D82" w:rsidRDefault="00000000" w:rsidP="001C3D08">
      <w:pPr>
        <w:autoSpaceDE w:val="0"/>
        <w:autoSpaceDN w:val="0"/>
        <w:adjustRightInd w:val="0"/>
        <w:spacing w:line="276" w:lineRule="auto"/>
        <w:jc w:val="both"/>
      </w:pPr>
      <w:hyperlink r:id="rId14" w:history="1">
        <w:r w:rsidR="009F2D82" w:rsidRPr="00BB2EF0">
          <w:rPr>
            <w:rStyle w:val="Hyperlink"/>
          </w:rPr>
          <w:t>https://resilientrivers.com.au/</w:t>
        </w:r>
      </w:hyperlink>
    </w:p>
    <w:p w14:paraId="369B9421" w14:textId="77777777" w:rsidR="009F2D82" w:rsidRDefault="009F2D82" w:rsidP="001C3D08">
      <w:pPr>
        <w:autoSpaceDE w:val="0"/>
        <w:autoSpaceDN w:val="0"/>
        <w:adjustRightInd w:val="0"/>
        <w:spacing w:line="276" w:lineRule="auto"/>
        <w:jc w:val="both"/>
      </w:pPr>
    </w:p>
    <w:p w14:paraId="4FBFCCB6" w14:textId="3BBE8D64" w:rsidR="0008707E" w:rsidRDefault="00000000" w:rsidP="001C3D08">
      <w:pPr>
        <w:autoSpaceDE w:val="0"/>
        <w:autoSpaceDN w:val="0"/>
        <w:adjustRightInd w:val="0"/>
        <w:spacing w:line="276" w:lineRule="auto"/>
        <w:jc w:val="both"/>
      </w:pPr>
      <w:hyperlink r:id="rId15" w:history="1">
        <w:r w:rsidR="009F2D82" w:rsidRPr="00BB2EF0">
          <w:rPr>
            <w:rStyle w:val="Hyperlink"/>
          </w:rPr>
          <w:t>https://seqmayors.qld.gov.au/initiatives/resilient-rivers-20141130</w:t>
        </w:r>
      </w:hyperlink>
    </w:p>
    <w:p w14:paraId="4C00AF55" w14:textId="77777777" w:rsidR="0008707E" w:rsidRDefault="0008707E" w:rsidP="001C3D08">
      <w:pPr>
        <w:autoSpaceDE w:val="0"/>
        <w:autoSpaceDN w:val="0"/>
        <w:adjustRightInd w:val="0"/>
        <w:spacing w:line="276" w:lineRule="auto"/>
        <w:jc w:val="both"/>
      </w:pPr>
    </w:p>
    <w:p w14:paraId="4171CD7C" w14:textId="3A11B751" w:rsidR="005A4C00" w:rsidRDefault="00000000" w:rsidP="001C3D08">
      <w:pPr>
        <w:autoSpaceDE w:val="0"/>
        <w:autoSpaceDN w:val="0"/>
        <w:adjustRightInd w:val="0"/>
        <w:spacing w:line="276" w:lineRule="auto"/>
        <w:jc w:val="both"/>
      </w:pPr>
      <w:hyperlink r:id="rId16" w:history="1">
        <w:r w:rsidR="0008707E" w:rsidRPr="00BB2EF0">
          <w:rPr>
            <w:rStyle w:val="Hyperlink"/>
          </w:rPr>
          <w:t>https://wetlandinfo.des.qld.gov.au/wetlands/resources/tools/assessment-search-tool/catchment-action-plan-resilient-rivers-initiative/</w:t>
        </w:r>
      </w:hyperlink>
    </w:p>
    <w:p w14:paraId="4BF0676A" w14:textId="3DF81F3F" w:rsidR="00AC0FB6" w:rsidRDefault="00AC0FB6" w:rsidP="001C3D08">
      <w:pPr>
        <w:autoSpaceDE w:val="0"/>
        <w:autoSpaceDN w:val="0"/>
        <w:adjustRightInd w:val="0"/>
        <w:spacing w:line="276" w:lineRule="auto"/>
        <w:jc w:val="both"/>
      </w:pPr>
    </w:p>
    <w:p w14:paraId="7E7B3A6F" w14:textId="77777777" w:rsidR="00864628" w:rsidRDefault="00864628" w:rsidP="00864628">
      <w:pPr>
        <w:pStyle w:val="Heading1"/>
        <w:spacing w:before="0" w:line="276" w:lineRule="auto"/>
        <w:rPr>
          <w:rFonts w:cs="Arial"/>
          <w:sz w:val="20"/>
        </w:rPr>
      </w:pPr>
    </w:p>
    <w:p w14:paraId="32AFCF75" w14:textId="400B1CAF" w:rsidR="00864628" w:rsidRDefault="00864628" w:rsidP="00864628">
      <w:pPr>
        <w:pStyle w:val="Heading1"/>
        <w:spacing w:before="0"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AWA </w:t>
      </w:r>
      <w:r w:rsidR="00BD2EFD">
        <w:rPr>
          <w:rFonts w:cs="Arial"/>
          <w:sz w:val="20"/>
        </w:rPr>
        <w:t>CATCHMENT MANAGEMENT SPECIALISE NETWORK CONTACTS</w:t>
      </w:r>
    </w:p>
    <w:p w14:paraId="05584F27" w14:textId="20ED6DB8" w:rsidR="00BD2EFD" w:rsidRDefault="00BD2EFD" w:rsidP="00BD2EFD">
      <w:r>
        <w:t xml:space="preserve">Kim Markwell – </w:t>
      </w:r>
      <w:hyperlink r:id="rId17" w:history="1">
        <w:r w:rsidRPr="00BB2EF0">
          <w:rPr>
            <w:rStyle w:val="Hyperlink"/>
          </w:rPr>
          <w:t>kim@e2designlab.com.au</w:t>
        </w:r>
      </w:hyperlink>
    </w:p>
    <w:p w14:paraId="7C9B7247" w14:textId="7714CF45" w:rsidR="00BD2EFD" w:rsidRPr="00BD2EFD" w:rsidRDefault="00BD2EFD" w:rsidP="00BD2EFD">
      <w:r>
        <w:t xml:space="preserve">Greg Greene </w:t>
      </w:r>
    </w:p>
    <w:p w14:paraId="72D379DE" w14:textId="77777777" w:rsidR="00AC0FB6" w:rsidRDefault="00AC0FB6" w:rsidP="001C3D08">
      <w:pPr>
        <w:autoSpaceDE w:val="0"/>
        <w:autoSpaceDN w:val="0"/>
        <w:adjustRightInd w:val="0"/>
        <w:spacing w:line="276" w:lineRule="auto"/>
        <w:jc w:val="both"/>
        <w:rPr>
          <w:rFonts w:ascii="HelveticaNeueLT Std" w:hAnsi="HelveticaNeueLT Std"/>
          <w:b/>
          <w:noProof/>
        </w:rPr>
      </w:pPr>
    </w:p>
    <w:sectPr w:rsidR="00AC0FB6" w:rsidSect="00555BA1">
      <w:pgSz w:w="11907" w:h="16840" w:code="9"/>
      <w:pgMar w:top="1134" w:right="1134" w:bottom="1134" w:left="1134" w:header="567" w:footer="567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BB18" w14:textId="77777777" w:rsidR="00C63283" w:rsidRDefault="00C63283">
      <w:r>
        <w:separator/>
      </w:r>
    </w:p>
  </w:endnote>
  <w:endnote w:type="continuationSeparator" w:id="0">
    <w:p w14:paraId="3C4AB297" w14:textId="77777777" w:rsidR="00C63283" w:rsidRDefault="00C6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um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20B0604020202020204"/>
    <w:charset w:val="00"/>
    <w:family w:val="roman"/>
    <w:notTrueType/>
    <w:pitch w:val="default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0234" w14:textId="77777777" w:rsidR="00C63283" w:rsidRDefault="00C63283">
      <w:r>
        <w:separator/>
      </w:r>
    </w:p>
  </w:footnote>
  <w:footnote w:type="continuationSeparator" w:id="0">
    <w:p w14:paraId="4FE1B629" w14:textId="77777777" w:rsidR="00C63283" w:rsidRDefault="00C6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3A4"/>
    <w:multiLevelType w:val="hybridMultilevel"/>
    <w:tmpl w:val="49E65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42F"/>
    <w:multiLevelType w:val="hybridMultilevel"/>
    <w:tmpl w:val="F7063B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905"/>
    <w:multiLevelType w:val="hybridMultilevel"/>
    <w:tmpl w:val="80BC10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5564"/>
    <w:multiLevelType w:val="multilevel"/>
    <w:tmpl w:val="60A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B4F1A"/>
    <w:multiLevelType w:val="singleLevel"/>
    <w:tmpl w:val="81481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02000"/>
    <w:multiLevelType w:val="hybridMultilevel"/>
    <w:tmpl w:val="B4B29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032C2"/>
    <w:multiLevelType w:val="hybridMultilevel"/>
    <w:tmpl w:val="E12E23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0EDF"/>
    <w:multiLevelType w:val="singleLevel"/>
    <w:tmpl w:val="C1A6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513361"/>
    <w:multiLevelType w:val="hybridMultilevel"/>
    <w:tmpl w:val="9EF6B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E423A"/>
    <w:multiLevelType w:val="singleLevel"/>
    <w:tmpl w:val="568EDA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F4460A"/>
    <w:multiLevelType w:val="hybridMultilevel"/>
    <w:tmpl w:val="5F12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003005"/>
    <w:multiLevelType w:val="multilevel"/>
    <w:tmpl w:val="C3F8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78183B"/>
    <w:multiLevelType w:val="hybridMultilevel"/>
    <w:tmpl w:val="8D824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F0D44"/>
    <w:multiLevelType w:val="hybridMultilevel"/>
    <w:tmpl w:val="56DE1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048"/>
    <w:multiLevelType w:val="hybridMultilevel"/>
    <w:tmpl w:val="2042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445D8"/>
    <w:multiLevelType w:val="hybridMultilevel"/>
    <w:tmpl w:val="8B3AD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770BA"/>
    <w:multiLevelType w:val="multilevel"/>
    <w:tmpl w:val="C26E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F3355"/>
    <w:multiLevelType w:val="singleLevel"/>
    <w:tmpl w:val="6FDCCE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EE0C59"/>
    <w:multiLevelType w:val="hybridMultilevel"/>
    <w:tmpl w:val="A5BA3F78"/>
    <w:lvl w:ilvl="0" w:tplc="0B04F8E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Optimum-Roman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E0F70"/>
    <w:multiLevelType w:val="hybridMultilevel"/>
    <w:tmpl w:val="F42030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6058"/>
    <w:multiLevelType w:val="singleLevel"/>
    <w:tmpl w:val="A50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CA603A"/>
    <w:multiLevelType w:val="singleLevel"/>
    <w:tmpl w:val="61322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F86F34"/>
    <w:multiLevelType w:val="hybridMultilevel"/>
    <w:tmpl w:val="EF9CE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2F28"/>
    <w:multiLevelType w:val="hybridMultilevel"/>
    <w:tmpl w:val="BDF01E36"/>
    <w:lvl w:ilvl="0" w:tplc="0B04F8E6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Optimum-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7A21"/>
    <w:multiLevelType w:val="singleLevel"/>
    <w:tmpl w:val="EA985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2F3EE9"/>
    <w:multiLevelType w:val="hybridMultilevel"/>
    <w:tmpl w:val="700CE1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677396">
    <w:abstractNumId w:val="25"/>
  </w:num>
  <w:num w:numId="2" w16cid:durableId="968433561">
    <w:abstractNumId w:val="4"/>
  </w:num>
  <w:num w:numId="3" w16cid:durableId="1176456554">
    <w:abstractNumId w:val="7"/>
  </w:num>
  <w:num w:numId="4" w16cid:durableId="704525570">
    <w:abstractNumId w:val="22"/>
  </w:num>
  <w:num w:numId="5" w16cid:durableId="771363388">
    <w:abstractNumId w:val="21"/>
  </w:num>
  <w:num w:numId="6" w16cid:durableId="1112167426">
    <w:abstractNumId w:val="9"/>
  </w:num>
  <w:num w:numId="7" w16cid:durableId="959805077">
    <w:abstractNumId w:val="18"/>
  </w:num>
  <w:num w:numId="8" w16cid:durableId="553934846">
    <w:abstractNumId w:val="11"/>
  </w:num>
  <w:num w:numId="9" w16cid:durableId="10322682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562477">
    <w:abstractNumId w:val="23"/>
  </w:num>
  <w:num w:numId="11" w16cid:durableId="1323656908">
    <w:abstractNumId w:val="15"/>
  </w:num>
  <w:num w:numId="12" w16cid:durableId="401659">
    <w:abstractNumId w:val="13"/>
  </w:num>
  <w:num w:numId="13" w16cid:durableId="15591714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8707139">
    <w:abstractNumId w:val="14"/>
  </w:num>
  <w:num w:numId="15" w16cid:durableId="2011712598">
    <w:abstractNumId w:val="10"/>
  </w:num>
  <w:num w:numId="16" w16cid:durableId="597560560">
    <w:abstractNumId w:val="8"/>
  </w:num>
  <w:num w:numId="17" w16cid:durableId="2016303900">
    <w:abstractNumId w:val="19"/>
  </w:num>
  <w:num w:numId="18" w16cid:durableId="77823511">
    <w:abstractNumId w:val="5"/>
  </w:num>
  <w:num w:numId="19" w16cid:durableId="1405225122">
    <w:abstractNumId w:val="16"/>
  </w:num>
  <w:num w:numId="20" w16cid:durableId="1148784162">
    <w:abstractNumId w:val="12"/>
  </w:num>
  <w:num w:numId="21" w16cid:durableId="172040551">
    <w:abstractNumId w:val="1"/>
  </w:num>
  <w:num w:numId="22" w16cid:durableId="1759669834">
    <w:abstractNumId w:val="2"/>
  </w:num>
  <w:num w:numId="23" w16cid:durableId="688221546">
    <w:abstractNumId w:val="26"/>
  </w:num>
  <w:num w:numId="24" w16cid:durableId="255939812">
    <w:abstractNumId w:val="0"/>
  </w:num>
  <w:num w:numId="25" w16cid:durableId="2131124033">
    <w:abstractNumId w:val="24"/>
  </w:num>
  <w:num w:numId="26" w16cid:durableId="557595862">
    <w:abstractNumId w:val="20"/>
  </w:num>
  <w:num w:numId="27" w16cid:durableId="124812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rO0NAOygMhQSUcpOLW4ODM/D6TAsBYAChEq8ywAAAA="/>
  </w:docVars>
  <w:rsids>
    <w:rsidRoot w:val="00C36527"/>
    <w:rsid w:val="00003783"/>
    <w:rsid w:val="0003009A"/>
    <w:rsid w:val="0004130B"/>
    <w:rsid w:val="00042488"/>
    <w:rsid w:val="00052B35"/>
    <w:rsid w:val="00054D86"/>
    <w:rsid w:val="00057CFD"/>
    <w:rsid w:val="00070629"/>
    <w:rsid w:val="00077A9A"/>
    <w:rsid w:val="000810F2"/>
    <w:rsid w:val="0008707E"/>
    <w:rsid w:val="000A756A"/>
    <w:rsid w:val="000A7FE9"/>
    <w:rsid w:val="000B569B"/>
    <w:rsid w:val="000C0F8B"/>
    <w:rsid w:val="000D0F6A"/>
    <w:rsid w:val="000E09BD"/>
    <w:rsid w:val="000E404D"/>
    <w:rsid w:val="000E529D"/>
    <w:rsid w:val="000E739E"/>
    <w:rsid w:val="000F6906"/>
    <w:rsid w:val="000F6CF6"/>
    <w:rsid w:val="00100008"/>
    <w:rsid w:val="001023A8"/>
    <w:rsid w:val="001044B0"/>
    <w:rsid w:val="00106FC9"/>
    <w:rsid w:val="00110C0E"/>
    <w:rsid w:val="00113B41"/>
    <w:rsid w:val="0011537D"/>
    <w:rsid w:val="00115B78"/>
    <w:rsid w:val="00125203"/>
    <w:rsid w:val="00145B22"/>
    <w:rsid w:val="001518EA"/>
    <w:rsid w:val="00161CB7"/>
    <w:rsid w:val="001632D7"/>
    <w:rsid w:val="00180E66"/>
    <w:rsid w:val="001816CD"/>
    <w:rsid w:val="00185145"/>
    <w:rsid w:val="001A4BA3"/>
    <w:rsid w:val="001A647F"/>
    <w:rsid w:val="001B2526"/>
    <w:rsid w:val="001C3D08"/>
    <w:rsid w:val="001C4B62"/>
    <w:rsid w:val="001D1549"/>
    <w:rsid w:val="001D32D1"/>
    <w:rsid w:val="001D66C8"/>
    <w:rsid w:val="001E77F1"/>
    <w:rsid w:val="001F29E6"/>
    <w:rsid w:val="001F4957"/>
    <w:rsid w:val="001F526A"/>
    <w:rsid w:val="00203A82"/>
    <w:rsid w:val="002076E1"/>
    <w:rsid w:val="00233626"/>
    <w:rsid w:val="00236A7C"/>
    <w:rsid w:val="00237D2E"/>
    <w:rsid w:val="00244580"/>
    <w:rsid w:val="00253C26"/>
    <w:rsid w:val="00260D75"/>
    <w:rsid w:val="00271F24"/>
    <w:rsid w:val="0028566D"/>
    <w:rsid w:val="002952C4"/>
    <w:rsid w:val="002A4639"/>
    <w:rsid w:val="002B72ED"/>
    <w:rsid w:val="002E5CCF"/>
    <w:rsid w:val="002F1D66"/>
    <w:rsid w:val="002F29A9"/>
    <w:rsid w:val="002F51BD"/>
    <w:rsid w:val="003027CD"/>
    <w:rsid w:val="00303DDD"/>
    <w:rsid w:val="00303F4D"/>
    <w:rsid w:val="00307A44"/>
    <w:rsid w:val="003119F0"/>
    <w:rsid w:val="0032198F"/>
    <w:rsid w:val="0032633E"/>
    <w:rsid w:val="00336280"/>
    <w:rsid w:val="00352509"/>
    <w:rsid w:val="003803CD"/>
    <w:rsid w:val="0038271F"/>
    <w:rsid w:val="003919A5"/>
    <w:rsid w:val="0039294B"/>
    <w:rsid w:val="00393A7A"/>
    <w:rsid w:val="00393A99"/>
    <w:rsid w:val="003A13E7"/>
    <w:rsid w:val="003A4954"/>
    <w:rsid w:val="003A7918"/>
    <w:rsid w:val="003B282E"/>
    <w:rsid w:val="003C1806"/>
    <w:rsid w:val="003C2C10"/>
    <w:rsid w:val="003C586A"/>
    <w:rsid w:val="003D6859"/>
    <w:rsid w:val="003D700B"/>
    <w:rsid w:val="00406950"/>
    <w:rsid w:val="0040780D"/>
    <w:rsid w:val="00412062"/>
    <w:rsid w:val="004129E6"/>
    <w:rsid w:val="00413231"/>
    <w:rsid w:val="00423A5A"/>
    <w:rsid w:val="004261AE"/>
    <w:rsid w:val="00435FAC"/>
    <w:rsid w:val="00436F27"/>
    <w:rsid w:val="00450278"/>
    <w:rsid w:val="00454863"/>
    <w:rsid w:val="004566FB"/>
    <w:rsid w:val="00461000"/>
    <w:rsid w:val="0047466F"/>
    <w:rsid w:val="00482CE7"/>
    <w:rsid w:val="00495D7F"/>
    <w:rsid w:val="004A1D61"/>
    <w:rsid w:val="004B2941"/>
    <w:rsid w:val="004B2AC7"/>
    <w:rsid w:val="004C0D38"/>
    <w:rsid w:val="004C1B6F"/>
    <w:rsid w:val="004C7780"/>
    <w:rsid w:val="004D0575"/>
    <w:rsid w:val="004E401C"/>
    <w:rsid w:val="004E43DC"/>
    <w:rsid w:val="004E5BD4"/>
    <w:rsid w:val="004E6267"/>
    <w:rsid w:val="004E7F80"/>
    <w:rsid w:val="004F05A7"/>
    <w:rsid w:val="004F37BB"/>
    <w:rsid w:val="00500D55"/>
    <w:rsid w:val="0050189B"/>
    <w:rsid w:val="0050239A"/>
    <w:rsid w:val="00507B39"/>
    <w:rsid w:val="005135C5"/>
    <w:rsid w:val="00513654"/>
    <w:rsid w:val="00517AFC"/>
    <w:rsid w:val="00524D00"/>
    <w:rsid w:val="00531B97"/>
    <w:rsid w:val="00536788"/>
    <w:rsid w:val="005405D3"/>
    <w:rsid w:val="00555BA1"/>
    <w:rsid w:val="00560172"/>
    <w:rsid w:val="00570B48"/>
    <w:rsid w:val="00571124"/>
    <w:rsid w:val="005804AB"/>
    <w:rsid w:val="00593ABE"/>
    <w:rsid w:val="005A0C97"/>
    <w:rsid w:val="005A4C00"/>
    <w:rsid w:val="005B4E44"/>
    <w:rsid w:val="005B5AD0"/>
    <w:rsid w:val="005C2DD2"/>
    <w:rsid w:val="005D17E8"/>
    <w:rsid w:val="005D3C0A"/>
    <w:rsid w:val="005D55E1"/>
    <w:rsid w:val="005D635E"/>
    <w:rsid w:val="005E194D"/>
    <w:rsid w:val="005E3B8E"/>
    <w:rsid w:val="005E6C7A"/>
    <w:rsid w:val="005E72F8"/>
    <w:rsid w:val="005F231C"/>
    <w:rsid w:val="006106D0"/>
    <w:rsid w:val="00615B97"/>
    <w:rsid w:val="00622A6A"/>
    <w:rsid w:val="0062395A"/>
    <w:rsid w:val="00636B60"/>
    <w:rsid w:val="006409C4"/>
    <w:rsid w:val="00646074"/>
    <w:rsid w:val="00671E55"/>
    <w:rsid w:val="006726F0"/>
    <w:rsid w:val="00674FA0"/>
    <w:rsid w:val="00686B48"/>
    <w:rsid w:val="00694B3D"/>
    <w:rsid w:val="006A4B2C"/>
    <w:rsid w:val="006A63F4"/>
    <w:rsid w:val="006B660D"/>
    <w:rsid w:val="006B6B08"/>
    <w:rsid w:val="006C080D"/>
    <w:rsid w:val="006C4ED1"/>
    <w:rsid w:val="006C71D7"/>
    <w:rsid w:val="006D79F0"/>
    <w:rsid w:val="006E020E"/>
    <w:rsid w:val="006E2916"/>
    <w:rsid w:val="006F6F65"/>
    <w:rsid w:val="006F7B43"/>
    <w:rsid w:val="00700515"/>
    <w:rsid w:val="007030C8"/>
    <w:rsid w:val="00705928"/>
    <w:rsid w:val="00707EF3"/>
    <w:rsid w:val="00721AF0"/>
    <w:rsid w:val="00722656"/>
    <w:rsid w:val="00723C3D"/>
    <w:rsid w:val="00727E4B"/>
    <w:rsid w:val="00730F99"/>
    <w:rsid w:val="007312AF"/>
    <w:rsid w:val="00731B17"/>
    <w:rsid w:val="0073587D"/>
    <w:rsid w:val="00737074"/>
    <w:rsid w:val="007400B9"/>
    <w:rsid w:val="00776D09"/>
    <w:rsid w:val="00781F1A"/>
    <w:rsid w:val="00782702"/>
    <w:rsid w:val="007A7FD5"/>
    <w:rsid w:val="007B0DB0"/>
    <w:rsid w:val="007B2013"/>
    <w:rsid w:val="007B23DB"/>
    <w:rsid w:val="007B33DB"/>
    <w:rsid w:val="007B4D2D"/>
    <w:rsid w:val="007B6A4A"/>
    <w:rsid w:val="007C4BD4"/>
    <w:rsid w:val="007C4DDC"/>
    <w:rsid w:val="007C623E"/>
    <w:rsid w:val="007C6F5F"/>
    <w:rsid w:val="007D75A6"/>
    <w:rsid w:val="007E021B"/>
    <w:rsid w:val="007F1D46"/>
    <w:rsid w:val="00820435"/>
    <w:rsid w:val="00822D3C"/>
    <w:rsid w:val="00825D60"/>
    <w:rsid w:val="008446B3"/>
    <w:rsid w:val="00856BF8"/>
    <w:rsid w:val="00864628"/>
    <w:rsid w:val="0087011D"/>
    <w:rsid w:val="00875542"/>
    <w:rsid w:val="008817C7"/>
    <w:rsid w:val="00881CDF"/>
    <w:rsid w:val="00890392"/>
    <w:rsid w:val="00890FF3"/>
    <w:rsid w:val="00893A41"/>
    <w:rsid w:val="008953DD"/>
    <w:rsid w:val="008A59FF"/>
    <w:rsid w:val="008B3C76"/>
    <w:rsid w:val="008B77FA"/>
    <w:rsid w:val="008C02A0"/>
    <w:rsid w:val="008C229B"/>
    <w:rsid w:val="008C5B82"/>
    <w:rsid w:val="008D00EB"/>
    <w:rsid w:val="008D1676"/>
    <w:rsid w:val="008D1947"/>
    <w:rsid w:val="008D2740"/>
    <w:rsid w:val="008E0A4A"/>
    <w:rsid w:val="008E24DE"/>
    <w:rsid w:val="00900868"/>
    <w:rsid w:val="009061F6"/>
    <w:rsid w:val="009132F4"/>
    <w:rsid w:val="00923044"/>
    <w:rsid w:val="00925490"/>
    <w:rsid w:val="009274F4"/>
    <w:rsid w:val="009321DB"/>
    <w:rsid w:val="009344F0"/>
    <w:rsid w:val="00962462"/>
    <w:rsid w:val="00964A81"/>
    <w:rsid w:val="009755D6"/>
    <w:rsid w:val="009840AF"/>
    <w:rsid w:val="009A3806"/>
    <w:rsid w:val="009C0BFE"/>
    <w:rsid w:val="009C363A"/>
    <w:rsid w:val="009C3AE7"/>
    <w:rsid w:val="009D0672"/>
    <w:rsid w:val="009F0575"/>
    <w:rsid w:val="009F29A0"/>
    <w:rsid w:val="009F2D82"/>
    <w:rsid w:val="009F39F6"/>
    <w:rsid w:val="009F59D6"/>
    <w:rsid w:val="00A003A6"/>
    <w:rsid w:val="00A03FA9"/>
    <w:rsid w:val="00A1231D"/>
    <w:rsid w:val="00A12A77"/>
    <w:rsid w:val="00A12C40"/>
    <w:rsid w:val="00A14928"/>
    <w:rsid w:val="00A15F23"/>
    <w:rsid w:val="00A21CEA"/>
    <w:rsid w:val="00A2417E"/>
    <w:rsid w:val="00A242AE"/>
    <w:rsid w:val="00A31879"/>
    <w:rsid w:val="00A401E6"/>
    <w:rsid w:val="00A555E3"/>
    <w:rsid w:val="00A613BE"/>
    <w:rsid w:val="00A712B8"/>
    <w:rsid w:val="00A71362"/>
    <w:rsid w:val="00A95532"/>
    <w:rsid w:val="00AB0743"/>
    <w:rsid w:val="00AC0FB6"/>
    <w:rsid w:val="00AC2B56"/>
    <w:rsid w:val="00AD296E"/>
    <w:rsid w:val="00AD5520"/>
    <w:rsid w:val="00AE03FC"/>
    <w:rsid w:val="00AE45DD"/>
    <w:rsid w:val="00AF5F36"/>
    <w:rsid w:val="00AF73D0"/>
    <w:rsid w:val="00B03371"/>
    <w:rsid w:val="00B0390F"/>
    <w:rsid w:val="00B0787E"/>
    <w:rsid w:val="00B149AF"/>
    <w:rsid w:val="00B244E0"/>
    <w:rsid w:val="00B27684"/>
    <w:rsid w:val="00B34BE7"/>
    <w:rsid w:val="00B53C6D"/>
    <w:rsid w:val="00B61F35"/>
    <w:rsid w:val="00B76A06"/>
    <w:rsid w:val="00B91E5C"/>
    <w:rsid w:val="00B920F1"/>
    <w:rsid w:val="00BA2D0E"/>
    <w:rsid w:val="00BA2E25"/>
    <w:rsid w:val="00BB6D53"/>
    <w:rsid w:val="00BB7EC0"/>
    <w:rsid w:val="00BC0503"/>
    <w:rsid w:val="00BD2970"/>
    <w:rsid w:val="00BD2EFD"/>
    <w:rsid w:val="00BE42C0"/>
    <w:rsid w:val="00BF64EA"/>
    <w:rsid w:val="00BF77F6"/>
    <w:rsid w:val="00C00FA5"/>
    <w:rsid w:val="00C04AB1"/>
    <w:rsid w:val="00C0653D"/>
    <w:rsid w:val="00C11F2B"/>
    <w:rsid w:val="00C26530"/>
    <w:rsid w:val="00C26918"/>
    <w:rsid w:val="00C33335"/>
    <w:rsid w:val="00C33952"/>
    <w:rsid w:val="00C36527"/>
    <w:rsid w:val="00C41409"/>
    <w:rsid w:val="00C46A17"/>
    <w:rsid w:val="00C51BED"/>
    <w:rsid w:val="00C52EBC"/>
    <w:rsid w:val="00C63283"/>
    <w:rsid w:val="00C87B0B"/>
    <w:rsid w:val="00C90D2A"/>
    <w:rsid w:val="00C92447"/>
    <w:rsid w:val="00C92C36"/>
    <w:rsid w:val="00C92D41"/>
    <w:rsid w:val="00C967B2"/>
    <w:rsid w:val="00CA2DDC"/>
    <w:rsid w:val="00CA75A2"/>
    <w:rsid w:val="00CB69C0"/>
    <w:rsid w:val="00CC214E"/>
    <w:rsid w:val="00CE2ECE"/>
    <w:rsid w:val="00CF196B"/>
    <w:rsid w:val="00D15E5D"/>
    <w:rsid w:val="00D16CF1"/>
    <w:rsid w:val="00D17A5C"/>
    <w:rsid w:val="00D32E5D"/>
    <w:rsid w:val="00D3684C"/>
    <w:rsid w:val="00D374F8"/>
    <w:rsid w:val="00D4407D"/>
    <w:rsid w:val="00D45A4A"/>
    <w:rsid w:val="00D5543E"/>
    <w:rsid w:val="00D56CE6"/>
    <w:rsid w:val="00D62501"/>
    <w:rsid w:val="00D67B08"/>
    <w:rsid w:val="00D77858"/>
    <w:rsid w:val="00D844B8"/>
    <w:rsid w:val="00D87DA1"/>
    <w:rsid w:val="00D91169"/>
    <w:rsid w:val="00DA2BDA"/>
    <w:rsid w:val="00DC5EBF"/>
    <w:rsid w:val="00DC7D67"/>
    <w:rsid w:val="00DD04E2"/>
    <w:rsid w:val="00DD0D0D"/>
    <w:rsid w:val="00DF0703"/>
    <w:rsid w:val="00DF1D50"/>
    <w:rsid w:val="00DF2B26"/>
    <w:rsid w:val="00E13370"/>
    <w:rsid w:val="00E215B5"/>
    <w:rsid w:val="00E3527F"/>
    <w:rsid w:val="00E37DEA"/>
    <w:rsid w:val="00E527CD"/>
    <w:rsid w:val="00E54109"/>
    <w:rsid w:val="00E550F9"/>
    <w:rsid w:val="00E552DA"/>
    <w:rsid w:val="00E60ABF"/>
    <w:rsid w:val="00E63F7D"/>
    <w:rsid w:val="00E731D5"/>
    <w:rsid w:val="00E73270"/>
    <w:rsid w:val="00E86F17"/>
    <w:rsid w:val="00E87E80"/>
    <w:rsid w:val="00E931D6"/>
    <w:rsid w:val="00EA6DA3"/>
    <w:rsid w:val="00EB515B"/>
    <w:rsid w:val="00EC0D28"/>
    <w:rsid w:val="00EC6E7D"/>
    <w:rsid w:val="00ED789F"/>
    <w:rsid w:val="00EE41A1"/>
    <w:rsid w:val="00F2341A"/>
    <w:rsid w:val="00F26B48"/>
    <w:rsid w:val="00F26CB1"/>
    <w:rsid w:val="00F362D9"/>
    <w:rsid w:val="00F50BF2"/>
    <w:rsid w:val="00F50CB8"/>
    <w:rsid w:val="00F518CD"/>
    <w:rsid w:val="00F61D0E"/>
    <w:rsid w:val="00F674C9"/>
    <w:rsid w:val="00F7182D"/>
    <w:rsid w:val="00F71E85"/>
    <w:rsid w:val="00F770F4"/>
    <w:rsid w:val="00F82B5C"/>
    <w:rsid w:val="00F85110"/>
    <w:rsid w:val="00F92343"/>
    <w:rsid w:val="00F930D5"/>
    <w:rsid w:val="00F97436"/>
    <w:rsid w:val="00FA130C"/>
    <w:rsid w:val="00FA2064"/>
    <w:rsid w:val="00FA7C47"/>
    <w:rsid w:val="00FF1DCF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EA170"/>
  <w15:docId w15:val="{CEB7A39D-D74F-4816-AE21-9363325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CC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74FA0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674FA0"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74FA0"/>
    <w:pPr>
      <w:keepNext/>
      <w:spacing w:before="12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6A63F4"/>
  </w:style>
  <w:style w:type="paragraph" w:customStyle="1" w:styleId="Body">
    <w:name w:val="Body"/>
    <w:basedOn w:val="Normal"/>
    <w:rsid w:val="002E5CCF"/>
    <w:pPr>
      <w:spacing w:before="60" w:after="60"/>
      <w:jc w:val="both"/>
    </w:pPr>
    <w:rPr>
      <w:noProof/>
    </w:rPr>
  </w:style>
  <w:style w:type="character" w:styleId="Hyperlink">
    <w:name w:val="Hyperlink"/>
    <w:rsid w:val="00674FA0"/>
    <w:rPr>
      <w:color w:val="0000FF"/>
      <w:u w:val="single"/>
    </w:rPr>
  </w:style>
  <w:style w:type="paragraph" w:customStyle="1" w:styleId="Figures">
    <w:name w:val="Figure #s"/>
    <w:basedOn w:val="Normal"/>
    <w:rsid w:val="00674FA0"/>
    <w:pPr>
      <w:tabs>
        <w:tab w:val="left" w:pos="910"/>
      </w:tabs>
      <w:spacing w:line="240" w:lineRule="exact"/>
      <w:jc w:val="center"/>
    </w:pPr>
    <w:rPr>
      <w:i/>
    </w:rPr>
  </w:style>
  <w:style w:type="paragraph" w:styleId="Footer">
    <w:name w:val="footer"/>
    <w:basedOn w:val="Normal"/>
    <w:rsid w:val="00674FA0"/>
    <w:pPr>
      <w:tabs>
        <w:tab w:val="center" w:pos="4320"/>
        <w:tab w:val="right" w:pos="8640"/>
      </w:tabs>
      <w:spacing w:line="200" w:lineRule="exact"/>
    </w:pPr>
    <w:rPr>
      <w:rFonts w:ascii="Swis721 BT" w:hAnsi="Swis721 BT"/>
      <w:sz w:val="16"/>
    </w:rPr>
  </w:style>
  <w:style w:type="paragraph" w:customStyle="1" w:styleId="Footnote">
    <w:name w:val="Footnote"/>
    <w:basedOn w:val="Normal"/>
    <w:rsid w:val="00674FA0"/>
    <w:pPr>
      <w:keepNext/>
      <w:tabs>
        <w:tab w:val="left" w:pos="216"/>
      </w:tabs>
      <w:spacing w:before="120" w:after="60" w:line="200" w:lineRule="exact"/>
      <w:ind w:left="216"/>
      <w:jc w:val="both"/>
      <w:outlineLvl w:val="0"/>
    </w:pPr>
    <w:rPr>
      <w:caps/>
      <w:kern w:val="28"/>
      <w:sz w:val="18"/>
      <w:u w:val="single"/>
    </w:rPr>
  </w:style>
  <w:style w:type="paragraph" w:styleId="Title">
    <w:name w:val="Title"/>
    <w:basedOn w:val="Normal"/>
    <w:qFormat/>
    <w:rsid w:val="00674FA0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50189B"/>
    <w:pPr>
      <w:numPr>
        <w:numId w:val="8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674F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TableMainHead">
    <w:name w:val="Table Main Head"/>
    <w:basedOn w:val="Normal"/>
    <w:next w:val="TableText"/>
    <w:rsid w:val="00F50BF2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Title"/>
    <w:rsid w:val="00F50BF2"/>
    <w:pPr>
      <w:spacing w:before="60" w:after="60" w:line="240" w:lineRule="auto"/>
      <w:jc w:val="left"/>
    </w:pPr>
    <w:rPr>
      <w:b w:val="0"/>
      <w:caps w:val="0"/>
      <w:sz w:val="20"/>
    </w:rPr>
  </w:style>
  <w:style w:type="paragraph" w:customStyle="1" w:styleId="TableTitle">
    <w:name w:val="Table Title"/>
    <w:basedOn w:val="TableText"/>
    <w:rsid w:val="00674FA0"/>
    <w:pPr>
      <w:spacing w:line="240" w:lineRule="exact"/>
      <w:jc w:val="center"/>
    </w:pPr>
    <w:rPr>
      <w:i/>
    </w:rPr>
  </w:style>
  <w:style w:type="paragraph" w:customStyle="1" w:styleId="Authors">
    <w:name w:val="Authors"/>
    <w:basedOn w:val="Normal"/>
    <w:rsid w:val="00674FA0"/>
    <w:pPr>
      <w:spacing w:line="280" w:lineRule="exact"/>
      <w:jc w:val="center"/>
    </w:pPr>
    <w:rPr>
      <w:bCs/>
      <w:sz w:val="24"/>
    </w:rPr>
  </w:style>
  <w:style w:type="paragraph" w:styleId="Header">
    <w:name w:val="header"/>
    <w:basedOn w:val="Normal"/>
    <w:rsid w:val="00A613B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21AF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906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739E"/>
    <w:pPr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1C3D08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AD55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5520"/>
  </w:style>
  <w:style w:type="character" w:customStyle="1" w:styleId="CommentTextChar">
    <w:name w:val="Comment Text Char"/>
    <w:basedOn w:val="DefaultParagraphFont"/>
    <w:link w:val="CommentText"/>
    <w:semiHidden/>
    <w:rsid w:val="00AD55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520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ilientrivers.com.au/map/site/kholo-bridge-604XR6SN3noGn3gmX65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landinfo.des.qld.gov.au/wetlands/ecology/processes-systems/water/catchment-stories/" TargetMode="External"/><Relationship Id="rId17" Type="http://schemas.openxmlformats.org/officeDocument/2006/relationships/hyperlink" Target="mailto:kim@e2designlab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tlandinfo.des.qld.gov.au/wetlands/resources/tools/assessment-search-tool/catchment-action-plan-resilient-rivers-initiativ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qmayors.qld.gov.au/initiatives/resilient-rivers-2014113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ilientriver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030510E6CCE4D9E2DF71B7DD54C6D" ma:contentTypeVersion="12" ma:contentTypeDescription="Create a new document." ma:contentTypeScope="" ma:versionID="1b12fdd9ca04f800e8621ba2bf4cac89">
  <xsd:schema xmlns:xsd="http://www.w3.org/2001/XMLSchema" xmlns:xs="http://www.w3.org/2001/XMLSchema" xmlns:p="http://schemas.microsoft.com/office/2006/metadata/properties" xmlns:ns2="e56a532b-5903-4532-9ef5-d7fe8fc3bae7" xmlns:ns3="37990d21-26ed-4827-94bc-19f5ee129311" targetNamespace="http://schemas.microsoft.com/office/2006/metadata/properties" ma:root="true" ma:fieldsID="851c15630850bbe87571d440a25292cb" ns2:_="" ns3:_="">
    <xsd:import namespace="e56a532b-5903-4532-9ef5-d7fe8fc3bae7"/>
    <xsd:import namespace="37990d21-26ed-4827-94bc-19f5ee129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532b-5903-4532-9ef5-d7fe8fc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0d21-26ed-4827-94bc-19f5ee129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72D3F-649F-40D4-BF9D-C8897BD4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532b-5903-4532-9ef5-d7fe8fc3bae7"/>
    <ds:schemaRef ds:uri="37990d21-26ed-4827-94bc-19f5ee129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0F3C1-B103-4F5D-B9CB-731F836EFA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52B89-7C64-4CFA-BF37-8C4FA17542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029F6-6EC1-4039-B7CE-EA52B7EB00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Preparation Guidelines</vt:lpstr>
    </vt:vector>
  </TitlesOfParts>
  <Company>TU Eindhoven</Company>
  <LinksUpToDate>false</LinksUpToDate>
  <CharactersWithSpaces>8580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http://www.ozwater.org/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Preparation Guidelines</dc:title>
  <dc:creator>BS2003</dc:creator>
  <cp:lastModifiedBy>BRIONY RUSSELL</cp:lastModifiedBy>
  <cp:revision>10</cp:revision>
  <cp:lastPrinted>2008-01-14T01:41:00Z</cp:lastPrinted>
  <dcterms:created xsi:type="dcterms:W3CDTF">2021-11-30T01:19:00Z</dcterms:created>
  <dcterms:modified xsi:type="dcterms:W3CDTF">2022-08-05T04:03:00Z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0x0101001FC030510E6CCE4D9E2DF71B7DD54C6D</vt:lpwstr>
  </property>
  <property fmtid="{D5CDD505-2E9C-101B-9397-08002B2CF9AE}" pid="3" name="Order">
    <vt:r8>38584400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